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4712" w14:textId="77777777" w:rsidR="00191A81" w:rsidRDefault="005B1947">
      <w:pPr>
        <w:spacing w:before="39"/>
        <w:ind w:left="120"/>
        <w:rPr>
          <w:b/>
        </w:rPr>
      </w:pPr>
      <w:r>
        <w:rPr>
          <w:b/>
        </w:rPr>
        <w:t>README</w:t>
      </w:r>
    </w:p>
    <w:p w14:paraId="74936E01" w14:textId="161F714D" w:rsidR="00191A81" w:rsidRDefault="005B1947">
      <w:pPr>
        <w:spacing w:before="3"/>
        <w:ind w:left="175"/>
        <w:rPr>
          <w:b/>
          <w:sz w:val="20"/>
        </w:rPr>
      </w:pPr>
      <w:r>
        <w:rPr>
          <w:b/>
          <w:sz w:val="20"/>
        </w:rPr>
        <w:t xml:space="preserve">(Updated </w:t>
      </w:r>
      <w:r w:rsidR="00990541">
        <w:rPr>
          <w:b/>
          <w:sz w:val="20"/>
        </w:rPr>
        <w:t>June 9</w:t>
      </w:r>
      <w:r w:rsidR="00810B21">
        <w:rPr>
          <w:b/>
          <w:sz w:val="20"/>
        </w:rPr>
        <w:t xml:space="preserve"> </w:t>
      </w:r>
      <w:r w:rsidR="00A33838">
        <w:rPr>
          <w:b/>
          <w:sz w:val="20"/>
        </w:rPr>
        <w:t>2023</w:t>
      </w:r>
      <w:r>
        <w:rPr>
          <w:b/>
          <w:sz w:val="20"/>
        </w:rPr>
        <w:t>)</w:t>
      </w:r>
    </w:p>
    <w:p w14:paraId="56F00EDA" w14:textId="77777777" w:rsidR="00191A81" w:rsidRDefault="00191A81">
      <w:pPr>
        <w:pStyle w:val="BodyText"/>
        <w:rPr>
          <w:b/>
          <w:sz w:val="24"/>
        </w:rPr>
      </w:pPr>
    </w:p>
    <w:p w14:paraId="5276B003" w14:textId="77777777" w:rsidR="00191A81" w:rsidRDefault="005B1947">
      <w:pPr>
        <w:pStyle w:val="Heading1"/>
        <w:ind w:left="1885" w:right="2346"/>
        <w:jc w:val="center"/>
      </w:pPr>
      <w:r>
        <w:rPr>
          <w:u w:val="single"/>
        </w:rPr>
        <w:t xml:space="preserve">Data Dictionary for DPR’s </w:t>
      </w:r>
      <w:r w:rsidR="00C90702">
        <w:rPr>
          <w:u w:val="single"/>
        </w:rPr>
        <w:t xml:space="preserve">Pesticide </w:t>
      </w:r>
      <w:r>
        <w:rPr>
          <w:u w:val="single"/>
        </w:rPr>
        <w:t>Air Monitoring Results</w:t>
      </w:r>
      <w:r>
        <w:rPr>
          <w:spacing w:val="-22"/>
          <w:u w:val="single"/>
        </w:rPr>
        <w:t xml:space="preserve"> </w:t>
      </w:r>
      <w:r>
        <w:rPr>
          <w:u w:val="single"/>
        </w:rPr>
        <w:t>Database</w:t>
      </w:r>
    </w:p>
    <w:p w14:paraId="2E4B55BB" w14:textId="77777777" w:rsidR="00191A81" w:rsidRDefault="00191A81">
      <w:pPr>
        <w:pStyle w:val="BodyText"/>
        <w:rPr>
          <w:b/>
          <w:sz w:val="15"/>
        </w:rPr>
      </w:pPr>
    </w:p>
    <w:p w14:paraId="1B24BD54" w14:textId="77777777" w:rsidR="00191A81" w:rsidRDefault="005B1947">
      <w:pPr>
        <w:pStyle w:val="BodyText"/>
        <w:spacing w:before="59"/>
        <w:ind w:left="120"/>
      </w:pPr>
      <w:r>
        <w:rPr>
          <w:b/>
        </w:rPr>
        <w:t>SAMPLE_YEAR</w:t>
      </w:r>
      <w:r>
        <w:t>:</w:t>
      </w:r>
      <w:r>
        <w:rPr>
          <w:spacing w:val="-5"/>
        </w:rPr>
        <w:t xml:space="preserve"> </w:t>
      </w:r>
      <w:r>
        <w:t>A</w:t>
      </w:r>
      <w:r>
        <w:rPr>
          <w:spacing w:val="-3"/>
        </w:rPr>
        <w:t xml:space="preserve"> </w:t>
      </w:r>
      <w:r>
        <w:t>four-digit</w:t>
      </w:r>
      <w:r>
        <w:rPr>
          <w:spacing w:val="-3"/>
        </w:rPr>
        <w:t xml:space="preserve"> </w:t>
      </w:r>
      <w:r>
        <w:t>number</w:t>
      </w:r>
      <w:r>
        <w:rPr>
          <w:spacing w:val="-3"/>
        </w:rPr>
        <w:t xml:space="preserve"> </w:t>
      </w:r>
      <w:r>
        <w:t>representing</w:t>
      </w:r>
      <w:r>
        <w:rPr>
          <w:spacing w:val="-3"/>
        </w:rPr>
        <w:t xml:space="preserve"> </w:t>
      </w:r>
      <w:r>
        <w:t>the</w:t>
      </w:r>
      <w:r>
        <w:rPr>
          <w:spacing w:val="-4"/>
        </w:rPr>
        <w:t xml:space="preserve"> </w:t>
      </w:r>
      <w:r>
        <w:t>year</w:t>
      </w:r>
      <w:r>
        <w:rPr>
          <w:spacing w:val="-1"/>
        </w:rPr>
        <w:t xml:space="preserve"> </w:t>
      </w:r>
      <w:r>
        <w:t>when</w:t>
      </w:r>
      <w:r>
        <w:rPr>
          <w:spacing w:val="-3"/>
        </w:rPr>
        <w:t xml:space="preserve"> </w:t>
      </w:r>
      <w:r>
        <w:t>the</w:t>
      </w:r>
      <w:r>
        <w:rPr>
          <w:spacing w:val="-4"/>
        </w:rPr>
        <w:t xml:space="preserve"> </w:t>
      </w:r>
      <w:r>
        <w:t>air</w:t>
      </w:r>
      <w:r>
        <w:rPr>
          <w:spacing w:val="-3"/>
        </w:rPr>
        <w:t xml:space="preserve"> </w:t>
      </w:r>
      <w:r>
        <w:t>sample</w:t>
      </w:r>
      <w:r>
        <w:rPr>
          <w:spacing w:val="-4"/>
        </w:rPr>
        <w:t xml:space="preserve"> </w:t>
      </w:r>
      <w:r>
        <w:t>was</w:t>
      </w:r>
      <w:r>
        <w:rPr>
          <w:spacing w:val="-4"/>
        </w:rPr>
        <w:t xml:space="preserve"> </w:t>
      </w:r>
      <w:r>
        <w:t>collected.</w:t>
      </w:r>
    </w:p>
    <w:p w14:paraId="6B80038C" w14:textId="77777777" w:rsidR="00191A81" w:rsidRDefault="00F04998" w:rsidP="00F04998">
      <w:pPr>
        <w:pStyle w:val="BodyText"/>
        <w:tabs>
          <w:tab w:val="left" w:pos="2123"/>
        </w:tabs>
        <w:spacing w:before="5"/>
        <w:rPr>
          <w:sz w:val="19"/>
        </w:rPr>
      </w:pPr>
      <w:r>
        <w:rPr>
          <w:sz w:val="19"/>
        </w:rPr>
        <w:tab/>
      </w:r>
    </w:p>
    <w:p w14:paraId="29150F5E" w14:textId="77777777" w:rsidR="00191A81" w:rsidRDefault="005B1947">
      <w:pPr>
        <w:pStyle w:val="BodyText"/>
        <w:spacing w:line="276" w:lineRule="auto"/>
        <w:ind w:left="119" w:right="659"/>
      </w:pPr>
      <w:r>
        <w:rPr>
          <w:b/>
        </w:rPr>
        <w:t xml:space="preserve">DATA_TYPE: </w:t>
      </w:r>
      <w:r>
        <w:t>The type of result data, either a Published or Preliminary. ‘Published’ refers to results that have been thoroughly reviewed, verified, and have been included in a publication. ‘Preliminary’ refers to newer results that have gone through a preliminary review and verification process, but may be subject to change after further verification and have yet to be included in a publication.</w:t>
      </w:r>
    </w:p>
    <w:p w14:paraId="27FB4637" w14:textId="77777777" w:rsidR="00191A81" w:rsidRDefault="00191A81">
      <w:pPr>
        <w:pStyle w:val="BodyText"/>
        <w:spacing w:before="6"/>
        <w:rPr>
          <w:sz w:val="16"/>
        </w:rPr>
      </w:pPr>
    </w:p>
    <w:p w14:paraId="6DC1873E" w14:textId="77777777" w:rsidR="00191A81" w:rsidRDefault="005B1947">
      <w:pPr>
        <w:pStyle w:val="BodyText"/>
        <w:spacing w:before="1" w:line="276" w:lineRule="auto"/>
        <w:ind w:left="119" w:right="1019"/>
      </w:pPr>
      <w:r>
        <w:rPr>
          <w:b/>
        </w:rPr>
        <w:t xml:space="preserve">STUDY_TYPE: </w:t>
      </w:r>
      <w:r>
        <w:t>The type of monitoring study conducted, either a Short-term or Long-term. Long-Term means a study length greater than 11 months while Short-term refers to any study length of less than 11 months.</w:t>
      </w:r>
    </w:p>
    <w:p w14:paraId="346E3881" w14:textId="77777777" w:rsidR="00191A81" w:rsidRDefault="00191A81">
      <w:pPr>
        <w:pStyle w:val="BodyText"/>
        <w:spacing w:before="3"/>
        <w:rPr>
          <w:sz w:val="16"/>
        </w:rPr>
      </w:pPr>
    </w:p>
    <w:p w14:paraId="037A84C2" w14:textId="77777777" w:rsidR="00191A81" w:rsidRDefault="005B1947">
      <w:pPr>
        <w:pStyle w:val="BodyText"/>
        <w:spacing w:before="1"/>
        <w:ind w:left="119"/>
      </w:pPr>
      <w:r>
        <w:rPr>
          <w:b/>
        </w:rPr>
        <w:t>SAMPLING_AGENCY</w:t>
      </w:r>
      <w:r>
        <w:t>: A text code representing the agency who conducted the air monitoring sampling.</w:t>
      </w:r>
    </w:p>
    <w:p w14:paraId="0E43BC6E" w14:textId="77777777" w:rsidR="00191A81" w:rsidRDefault="00191A81">
      <w:pPr>
        <w:pStyle w:val="BodyText"/>
        <w:spacing w:before="3"/>
        <w:rPr>
          <w:sz w:val="19"/>
        </w:rPr>
      </w:pPr>
    </w:p>
    <w:p w14:paraId="57A0730B" w14:textId="77777777" w:rsidR="00191A81" w:rsidRDefault="005B1947">
      <w:pPr>
        <w:pStyle w:val="BodyText"/>
        <w:spacing w:before="1"/>
        <w:ind w:left="119"/>
      </w:pPr>
      <w:r>
        <w:rPr>
          <w:b/>
        </w:rPr>
        <w:t>STUDY_NUMBER</w:t>
      </w:r>
      <w:r>
        <w:t>: A unique numerical code assigned to a study by DPR.</w:t>
      </w:r>
    </w:p>
    <w:p w14:paraId="416A57D8" w14:textId="77777777" w:rsidR="00191A81" w:rsidRDefault="00191A81">
      <w:pPr>
        <w:pStyle w:val="BodyText"/>
        <w:spacing w:before="6"/>
        <w:rPr>
          <w:sz w:val="19"/>
        </w:rPr>
      </w:pPr>
    </w:p>
    <w:p w14:paraId="27B8D40F" w14:textId="77777777" w:rsidR="00191A81" w:rsidRDefault="005B1947">
      <w:pPr>
        <w:pStyle w:val="BodyText"/>
        <w:ind w:left="119"/>
      </w:pPr>
      <w:r>
        <w:rPr>
          <w:b/>
        </w:rPr>
        <w:t>SITE_STATUS</w:t>
      </w:r>
      <w:r>
        <w:t>: The status of the air monitoring site (Active or Inactive).</w:t>
      </w:r>
    </w:p>
    <w:p w14:paraId="78AC0E13" w14:textId="77777777" w:rsidR="00191A81" w:rsidRDefault="00191A81">
      <w:pPr>
        <w:pStyle w:val="BodyText"/>
        <w:spacing w:before="4"/>
        <w:rPr>
          <w:sz w:val="19"/>
        </w:rPr>
      </w:pPr>
    </w:p>
    <w:p w14:paraId="7BA4EBCE" w14:textId="77777777" w:rsidR="00191A81" w:rsidRDefault="005B1947">
      <w:pPr>
        <w:pStyle w:val="BodyText"/>
        <w:spacing w:line="276" w:lineRule="auto"/>
        <w:ind w:left="119" w:right="565"/>
      </w:pPr>
      <w:r>
        <w:rPr>
          <w:b/>
        </w:rPr>
        <w:t>SITE_CODE</w:t>
      </w:r>
      <w:r>
        <w:t>: A unique code given to a monitoring site composed of the study number and a location code unique to that study. The same monitoring station may be use for multiple studies (</w:t>
      </w:r>
      <w:proofErr w:type="spellStart"/>
      <w:r>
        <w:t>ie</w:t>
      </w:r>
      <w:proofErr w:type="spellEnd"/>
      <w:r>
        <w:t>: Site code 999-E and 257-E. This site “Watsonville” was used in the Toxic Air Contaminant monitoring study and then adopted into the Air Monitoring Network study.</w:t>
      </w:r>
    </w:p>
    <w:p w14:paraId="00F73640" w14:textId="77777777" w:rsidR="00191A81" w:rsidRDefault="00191A81">
      <w:pPr>
        <w:pStyle w:val="BodyText"/>
        <w:spacing w:before="4"/>
        <w:rPr>
          <w:sz w:val="16"/>
        </w:rPr>
      </w:pPr>
    </w:p>
    <w:p w14:paraId="26E8E4D5" w14:textId="77777777" w:rsidR="00191A81" w:rsidRDefault="005B1947">
      <w:pPr>
        <w:pStyle w:val="BodyText"/>
        <w:ind w:left="119"/>
      </w:pPr>
      <w:r>
        <w:rPr>
          <w:b/>
        </w:rPr>
        <w:t>SITE_NAME</w:t>
      </w:r>
      <w:r>
        <w:t>: A name assigned by DPR for a monitoring site.</w:t>
      </w:r>
    </w:p>
    <w:p w14:paraId="4F9F7FF8" w14:textId="77777777" w:rsidR="00191A81" w:rsidRDefault="00191A81">
      <w:pPr>
        <w:pStyle w:val="BodyText"/>
        <w:spacing w:before="7"/>
        <w:rPr>
          <w:sz w:val="19"/>
        </w:rPr>
      </w:pPr>
    </w:p>
    <w:p w14:paraId="34FD221A" w14:textId="77777777" w:rsidR="00191A81" w:rsidRDefault="005B1947">
      <w:pPr>
        <w:pStyle w:val="BodyText"/>
        <w:spacing w:line="276" w:lineRule="auto"/>
        <w:ind w:left="119" w:right="659"/>
      </w:pPr>
      <w:r>
        <w:rPr>
          <w:b/>
        </w:rPr>
        <w:t>LATITUDE_WGS4</w:t>
      </w:r>
      <w:r>
        <w:t>: The latitude coordinate of an air monitoring station represented in decimal degrees and using the reference datum of WGS84.</w:t>
      </w:r>
    </w:p>
    <w:p w14:paraId="6E1208DF" w14:textId="77777777" w:rsidR="00191A81" w:rsidRDefault="00191A81">
      <w:pPr>
        <w:pStyle w:val="BodyText"/>
        <w:spacing w:before="4"/>
        <w:rPr>
          <w:sz w:val="16"/>
        </w:rPr>
      </w:pPr>
    </w:p>
    <w:p w14:paraId="44EB5384" w14:textId="77777777" w:rsidR="00191A81" w:rsidRDefault="005B1947">
      <w:pPr>
        <w:pStyle w:val="BodyText"/>
        <w:spacing w:line="276" w:lineRule="auto"/>
        <w:ind w:left="119" w:right="659"/>
      </w:pPr>
      <w:r>
        <w:rPr>
          <w:b/>
        </w:rPr>
        <w:t>LONGITUDE_WGS84</w:t>
      </w:r>
      <w:r>
        <w:t>: The longitude coordinate of an air monitoring station represented in decimal degrees and using the reference datum of WGS84.</w:t>
      </w:r>
    </w:p>
    <w:p w14:paraId="12EFB637" w14:textId="77777777" w:rsidR="00191A81" w:rsidRDefault="00191A81">
      <w:pPr>
        <w:pStyle w:val="BodyText"/>
        <w:spacing w:before="4"/>
        <w:rPr>
          <w:sz w:val="16"/>
        </w:rPr>
      </w:pPr>
    </w:p>
    <w:p w14:paraId="112E057E" w14:textId="77777777" w:rsidR="00191A81" w:rsidRDefault="005B1947">
      <w:pPr>
        <w:pStyle w:val="BodyText"/>
        <w:spacing w:line="472" w:lineRule="auto"/>
        <w:ind w:left="119" w:right="1278"/>
      </w:pPr>
      <w:r>
        <w:rPr>
          <w:b/>
        </w:rPr>
        <w:t>SAMPLE_ID</w:t>
      </w:r>
      <w:r>
        <w:t xml:space="preserve">: A code comprised of the study number and a sample number, unique to a type of analysis. </w:t>
      </w:r>
      <w:r>
        <w:rPr>
          <w:b/>
        </w:rPr>
        <w:t>START_DATE</w:t>
      </w:r>
      <w:r>
        <w:t xml:space="preserve">: The date when the sample began collecting and formatted as MM/DD/YYYY. </w:t>
      </w:r>
      <w:r>
        <w:rPr>
          <w:b/>
        </w:rPr>
        <w:t>RUNTIME_MIN</w:t>
      </w:r>
      <w:r>
        <w:t>: The sampling duration time in minutes, where 1440 is equivalent to 24 hours.</w:t>
      </w:r>
    </w:p>
    <w:p w14:paraId="2D957E61" w14:textId="77777777" w:rsidR="00191A81" w:rsidRDefault="005B1947">
      <w:pPr>
        <w:pStyle w:val="BodyText"/>
        <w:spacing w:line="244" w:lineRule="exact"/>
        <w:ind w:left="119"/>
      </w:pPr>
      <w:r>
        <w:rPr>
          <w:b/>
        </w:rPr>
        <w:t>FLOW_CCM</w:t>
      </w:r>
      <w:r>
        <w:t>: The average flow rate calculated or reported in units of cubic centimeters per minute.</w:t>
      </w:r>
    </w:p>
    <w:p w14:paraId="5B1E0D47" w14:textId="77777777" w:rsidR="00191A81" w:rsidRDefault="00191A81">
      <w:pPr>
        <w:pStyle w:val="BodyText"/>
        <w:spacing w:before="4"/>
        <w:rPr>
          <w:sz w:val="19"/>
        </w:rPr>
      </w:pPr>
    </w:p>
    <w:p w14:paraId="2AF045EB" w14:textId="77777777" w:rsidR="00191A81" w:rsidRDefault="005B1947">
      <w:pPr>
        <w:pStyle w:val="BodyText"/>
        <w:spacing w:line="276" w:lineRule="auto"/>
        <w:ind w:left="119" w:right="754"/>
        <w:jc w:val="both"/>
      </w:pPr>
      <w:r>
        <w:rPr>
          <w:b/>
        </w:rPr>
        <w:t>CONCENTRATION_PPB</w:t>
      </w:r>
      <w:r>
        <w:t>: A numerical value representing the calculated concentration in parts per billion (ppb) for all quantifiable detections (above LOQ). Concentrations of all non-VOC’s assume a conversion factor of 24.45 and molecular mass of chemicals listed in the chemical table for conversions from µg/sample to ppb.</w:t>
      </w:r>
    </w:p>
    <w:p w14:paraId="5EB71C24" w14:textId="77777777" w:rsidR="00CD6046" w:rsidRDefault="00CD6046">
      <w:pPr>
        <w:pStyle w:val="BodyText"/>
        <w:spacing w:line="276" w:lineRule="auto"/>
        <w:ind w:left="119" w:right="754"/>
        <w:jc w:val="both"/>
      </w:pPr>
    </w:p>
    <w:p w14:paraId="31BF6DC4" w14:textId="77777777" w:rsidR="00CD6046" w:rsidRPr="00CD6046" w:rsidRDefault="00CD6046">
      <w:pPr>
        <w:pStyle w:val="BodyText"/>
        <w:spacing w:line="276" w:lineRule="auto"/>
        <w:ind w:left="119" w:right="754"/>
        <w:jc w:val="both"/>
      </w:pPr>
      <w:r>
        <w:rPr>
          <w:b/>
        </w:rPr>
        <w:t>CONCENTRATION</w:t>
      </w:r>
      <w:r w:rsidRPr="00CD6046">
        <w:rPr>
          <w:b/>
        </w:rPr>
        <w:t>_</w:t>
      </w:r>
      <w:r w:rsidR="005435A1">
        <w:rPr>
          <w:b/>
        </w:rPr>
        <w:t>NG/M3</w:t>
      </w:r>
      <w:r>
        <w:rPr>
          <w:b/>
        </w:rPr>
        <w:t xml:space="preserve">: </w:t>
      </w:r>
      <w:r>
        <w:t xml:space="preserve">A numerical value representing the calculated concentration in nanograms per meter cubed (ng/m3) for all quantifiable detections (above LOQ). </w:t>
      </w:r>
    </w:p>
    <w:p w14:paraId="17E2C622" w14:textId="77777777" w:rsidR="00191A81" w:rsidRDefault="00191A81">
      <w:pPr>
        <w:pStyle w:val="BodyText"/>
        <w:spacing w:before="6"/>
        <w:rPr>
          <w:sz w:val="16"/>
        </w:rPr>
      </w:pPr>
    </w:p>
    <w:p w14:paraId="71D7B63A" w14:textId="77777777" w:rsidR="00191A81" w:rsidRDefault="005B1947">
      <w:pPr>
        <w:pStyle w:val="BodyText"/>
        <w:spacing w:before="1"/>
        <w:ind w:left="119"/>
      </w:pPr>
      <w:r>
        <w:rPr>
          <w:b/>
        </w:rPr>
        <w:t>CHEMICAL_NAME</w:t>
      </w:r>
      <w:r>
        <w:t>: The unique chemical name in which results are presented for.</w:t>
      </w:r>
    </w:p>
    <w:p w14:paraId="7B76D1E4" w14:textId="77777777" w:rsidR="00191A81" w:rsidRDefault="00191A81">
      <w:pPr>
        <w:pStyle w:val="BodyText"/>
        <w:spacing w:before="3"/>
        <w:rPr>
          <w:sz w:val="19"/>
        </w:rPr>
      </w:pPr>
    </w:p>
    <w:p w14:paraId="185F1DBA" w14:textId="77777777" w:rsidR="00191A81" w:rsidRDefault="005B1947">
      <w:pPr>
        <w:pStyle w:val="BodyText"/>
        <w:spacing w:before="1" w:line="276" w:lineRule="auto"/>
        <w:ind w:left="119" w:right="772"/>
        <w:jc w:val="both"/>
      </w:pPr>
      <w:r>
        <w:rPr>
          <w:b/>
        </w:rPr>
        <w:t>LOQ_PPB</w:t>
      </w:r>
      <w:r>
        <w:t>: A numerical value representing the Limit of Quantification (LOQ) in ppb. LOQ is the highest detectable limit in which a sample can be reliably detected. The LOQ is specific to the time of analysis, for each chemical,</w:t>
      </w:r>
    </w:p>
    <w:p w14:paraId="140432D4" w14:textId="77777777" w:rsidR="00191A81" w:rsidRDefault="005B1947">
      <w:pPr>
        <w:pStyle w:val="BodyText"/>
        <w:spacing w:before="41" w:line="276" w:lineRule="auto"/>
        <w:ind w:left="120" w:right="1017"/>
      </w:pPr>
      <w:r>
        <w:t xml:space="preserve">analytical lab and lab method. Generally, the LOQ is set to 5-10 times higher than the Method Detection Limit </w:t>
      </w:r>
      <w:r>
        <w:lastRenderedPageBreak/>
        <w:t>(MDL). For VOC samples, the LOQ and MDL are equal.</w:t>
      </w:r>
    </w:p>
    <w:p w14:paraId="001EA2B8" w14:textId="77777777" w:rsidR="00CD6046" w:rsidRDefault="00CD6046">
      <w:pPr>
        <w:pStyle w:val="BodyText"/>
        <w:spacing w:before="41" w:line="276" w:lineRule="auto"/>
        <w:ind w:left="120" w:right="1017"/>
      </w:pPr>
    </w:p>
    <w:p w14:paraId="32552D0F" w14:textId="77777777" w:rsidR="00CD6046" w:rsidRPr="00CD6046" w:rsidRDefault="00CD6046" w:rsidP="00361513">
      <w:pPr>
        <w:pStyle w:val="BodyText"/>
        <w:spacing w:before="1" w:line="276" w:lineRule="auto"/>
        <w:ind w:left="119" w:right="772"/>
        <w:jc w:val="both"/>
      </w:pPr>
      <w:r w:rsidRPr="00CD6046">
        <w:rPr>
          <w:b/>
        </w:rPr>
        <w:t>LOQ_</w:t>
      </w:r>
      <w:r w:rsidR="005435A1" w:rsidRPr="005435A1">
        <w:rPr>
          <w:b/>
        </w:rPr>
        <w:t>NG/M3</w:t>
      </w:r>
      <w:r>
        <w:t>: A numerical value representing the Limit of Quantification (LOQ) in ng/m3. LOQ is the highest detectable limit in which a sample can be reliably detected. The LOQ is specific to the time of analysis, for each chemical,</w:t>
      </w:r>
      <w:r w:rsidR="00361513">
        <w:t xml:space="preserve"> </w:t>
      </w:r>
      <w:r>
        <w:t>analytical lab and lab method. Generally, the LOQ is set to 5-10 times higher than the Method Detection Limit (MDL). For VOC samples, the LOQ and MDL are equal.</w:t>
      </w:r>
    </w:p>
    <w:p w14:paraId="08AE657B" w14:textId="77777777" w:rsidR="00191A81" w:rsidRDefault="00191A81">
      <w:pPr>
        <w:pStyle w:val="BodyText"/>
        <w:spacing w:before="4"/>
        <w:rPr>
          <w:sz w:val="16"/>
        </w:rPr>
      </w:pPr>
    </w:p>
    <w:p w14:paraId="2577D70F" w14:textId="77777777" w:rsidR="00191A81" w:rsidRDefault="005B1947">
      <w:pPr>
        <w:pStyle w:val="BodyText"/>
        <w:spacing w:line="276" w:lineRule="auto"/>
        <w:ind w:left="120" w:right="586"/>
      </w:pPr>
      <w:r>
        <w:rPr>
          <w:b/>
        </w:rPr>
        <w:t>MDL_PPB</w:t>
      </w:r>
      <w:r>
        <w:t>: The Minimum Level of Detection that can reliably be detected in units of ppb. The MDL is specific to the time of analysis, for each chemical, analytical lab and lab method. For VOC samples, the LOQ and MDL are equal. Results below the MDL are reported as “ND” for Non Detects.</w:t>
      </w:r>
    </w:p>
    <w:p w14:paraId="018216D8" w14:textId="77777777" w:rsidR="00CD6046" w:rsidRDefault="00CD6046">
      <w:pPr>
        <w:pStyle w:val="BodyText"/>
        <w:spacing w:line="276" w:lineRule="auto"/>
        <w:ind w:left="120" w:right="586"/>
      </w:pPr>
    </w:p>
    <w:p w14:paraId="76B31F60" w14:textId="77777777" w:rsidR="00CD6046" w:rsidRDefault="00CD6046">
      <w:pPr>
        <w:pStyle w:val="BodyText"/>
        <w:spacing w:line="276" w:lineRule="auto"/>
        <w:ind w:left="120" w:right="586"/>
      </w:pPr>
      <w:r>
        <w:rPr>
          <w:b/>
        </w:rPr>
        <w:t>MDL_</w:t>
      </w:r>
      <w:r w:rsidR="005435A1">
        <w:rPr>
          <w:b/>
        </w:rPr>
        <w:t>NG/M3</w:t>
      </w:r>
      <w:r w:rsidR="003353F0" w:rsidRPr="003353F0">
        <w:t>:</w:t>
      </w:r>
      <w:r>
        <w:t xml:space="preserve"> Minimum Level of Detection that can reliably be detected in units of ng/m3. The MDL is specific to the time of analysis, for each chemical, analytical lab and lab method. For VOC samples, the LOQ and MDL are equal. Results below the MDL are reported as “ND” for Non Detects.</w:t>
      </w:r>
    </w:p>
    <w:p w14:paraId="50C7ADF2" w14:textId="77777777" w:rsidR="00191A81" w:rsidRDefault="00191A81">
      <w:pPr>
        <w:pStyle w:val="BodyText"/>
        <w:spacing w:before="7"/>
        <w:rPr>
          <w:sz w:val="16"/>
        </w:rPr>
      </w:pPr>
    </w:p>
    <w:p w14:paraId="1768FCE6" w14:textId="77777777" w:rsidR="00191A81" w:rsidRDefault="005B1947">
      <w:pPr>
        <w:pStyle w:val="BodyText"/>
        <w:ind w:left="120"/>
      </w:pPr>
      <w:r>
        <w:rPr>
          <w:b/>
        </w:rPr>
        <w:t>LAB_CODE</w:t>
      </w:r>
      <w:r>
        <w:t>: A unique code assigned to the laboratory who conducted the sample analysis.</w:t>
      </w:r>
    </w:p>
    <w:p w14:paraId="66F7B271" w14:textId="77777777" w:rsidR="00191A81" w:rsidRDefault="00191A81">
      <w:pPr>
        <w:pStyle w:val="BodyText"/>
      </w:pPr>
    </w:p>
    <w:p w14:paraId="478585FF" w14:textId="77777777" w:rsidR="00191A81" w:rsidRDefault="00191A81">
      <w:pPr>
        <w:pStyle w:val="BodyText"/>
        <w:spacing w:before="11"/>
        <w:rPr>
          <w:sz w:val="27"/>
        </w:rPr>
      </w:pPr>
    </w:p>
    <w:p w14:paraId="68726585" w14:textId="77777777" w:rsidR="00191A81" w:rsidRPr="00C96132" w:rsidRDefault="005B1947" w:rsidP="00C96132">
      <w:pPr>
        <w:pStyle w:val="Heading2"/>
      </w:pPr>
      <w:r w:rsidRPr="00C96132">
        <w:t>Reference Look up Tables</w:t>
      </w:r>
    </w:p>
    <w:p w14:paraId="07AD9003" w14:textId="77777777" w:rsidR="00191A81" w:rsidRPr="00C96132" w:rsidRDefault="005B1947" w:rsidP="00C96132">
      <w:pPr>
        <w:pStyle w:val="Heading3"/>
      </w:pPr>
      <w:r w:rsidRPr="00C96132">
        <w:t>Study types</w:t>
      </w:r>
    </w:p>
    <w:tbl>
      <w:tblPr>
        <w:tblStyle w:val="TableGrid"/>
        <w:tblW w:w="0" w:type="auto"/>
        <w:tblLayout w:type="fixed"/>
        <w:tblLook w:val="04A0" w:firstRow="1" w:lastRow="0" w:firstColumn="1" w:lastColumn="0" w:noHBand="0" w:noVBand="1"/>
        <w:tblDescription w:val="Study Types"/>
      </w:tblPr>
      <w:tblGrid>
        <w:gridCol w:w="2431"/>
        <w:gridCol w:w="7375"/>
      </w:tblGrid>
      <w:tr w:rsidR="00191A81" w14:paraId="2D1B673A" w14:textId="77777777" w:rsidTr="0089530D">
        <w:trPr>
          <w:trHeight w:val="268"/>
        </w:trPr>
        <w:tc>
          <w:tcPr>
            <w:tcW w:w="2431" w:type="dxa"/>
          </w:tcPr>
          <w:p w14:paraId="287A7DC3" w14:textId="77777777" w:rsidR="00191A81" w:rsidRDefault="005B1947">
            <w:pPr>
              <w:pStyle w:val="TableParagraph"/>
              <w:spacing w:before="0" w:line="248" w:lineRule="exact"/>
              <w:rPr>
                <w:b/>
              </w:rPr>
            </w:pPr>
            <w:r>
              <w:rPr>
                <w:b/>
              </w:rPr>
              <w:t>STUDY_TYPE</w:t>
            </w:r>
          </w:p>
        </w:tc>
        <w:tc>
          <w:tcPr>
            <w:tcW w:w="7375" w:type="dxa"/>
          </w:tcPr>
          <w:p w14:paraId="7E375DEE" w14:textId="77777777" w:rsidR="00191A81" w:rsidRDefault="005B1947">
            <w:pPr>
              <w:pStyle w:val="TableParagraph"/>
              <w:spacing w:before="0" w:line="248" w:lineRule="exact"/>
              <w:rPr>
                <w:b/>
              </w:rPr>
            </w:pPr>
            <w:r>
              <w:rPr>
                <w:b/>
              </w:rPr>
              <w:t>STUDY_TYPE DESCRIPTION</w:t>
            </w:r>
          </w:p>
        </w:tc>
      </w:tr>
      <w:tr w:rsidR="00191A81" w14:paraId="41FBB627" w14:textId="77777777" w:rsidTr="0089530D">
        <w:trPr>
          <w:trHeight w:val="734"/>
        </w:trPr>
        <w:tc>
          <w:tcPr>
            <w:tcW w:w="2431" w:type="dxa"/>
          </w:tcPr>
          <w:p w14:paraId="0F53E7FA" w14:textId="77777777" w:rsidR="00191A81" w:rsidRDefault="005B1947">
            <w:pPr>
              <w:pStyle w:val="TableParagraph"/>
              <w:spacing w:line="240" w:lineRule="auto"/>
              <w:rPr>
                <w:sz w:val="20"/>
              </w:rPr>
            </w:pPr>
            <w:r>
              <w:rPr>
                <w:sz w:val="20"/>
              </w:rPr>
              <w:t>Short-Term</w:t>
            </w:r>
          </w:p>
        </w:tc>
        <w:tc>
          <w:tcPr>
            <w:tcW w:w="7375" w:type="dxa"/>
          </w:tcPr>
          <w:p w14:paraId="20F71560" w14:textId="77777777" w:rsidR="00191A81" w:rsidRDefault="005B1947">
            <w:pPr>
              <w:pStyle w:val="TableParagraph"/>
              <w:spacing w:line="240" w:lineRule="atLeast"/>
              <w:ind w:right="441"/>
              <w:rPr>
                <w:sz w:val="20"/>
              </w:rPr>
            </w:pPr>
            <w:r>
              <w:rPr>
                <w:sz w:val="20"/>
              </w:rPr>
              <w:t>Typically, a seasonal study lasts only a couple weeks to a few months. These studies generally target one or a few chemicals during their high use period in a high use region. Sampling frequency is more intensive and during the study.</w:t>
            </w:r>
          </w:p>
        </w:tc>
      </w:tr>
      <w:tr w:rsidR="00191A81" w14:paraId="69BF1D30" w14:textId="77777777" w:rsidTr="0089530D">
        <w:trPr>
          <w:trHeight w:val="244"/>
        </w:trPr>
        <w:tc>
          <w:tcPr>
            <w:tcW w:w="2431" w:type="dxa"/>
          </w:tcPr>
          <w:p w14:paraId="7087CB6F" w14:textId="77777777" w:rsidR="00191A81" w:rsidRDefault="005B1947">
            <w:pPr>
              <w:pStyle w:val="TableParagraph"/>
              <w:rPr>
                <w:sz w:val="20"/>
              </w:rPr>
            </w:pPr>
            <w:r>
              <w:rPr>
                <w:sz w:val="20"/>
              </w:rPr>
              <w:t>Long-Term</w:t>
            </w:r>
          </w:p>
        </w:tc>
        <w:tc>
          <w:tcPr>
            <w:tcW w:w="7375" w:type="dxa"/>
          </w:tcPr>
          <w:p w14:paraId="2494564A" w14:textId="77777777" w:rsidR="00191A81" w:rsidRDefault="005B1947">
            <w:pPr>
              <w:pStyle w:val="TableParagraph"/>
              <w:rPr>
                <w:sz w:val="20"/>
              </w:rPr>
            </w:pPr>
            <w:r>
              <w:rPr>
                <w:sz w:val="20"/>
              </w:rPr>
              <w:t>Typically, a study where monitoring occurs for at least once a week for at least a year.</w:t>
            </w:r>
          </w:p>
        </w:tc>
      </w:tr>
    </w:tbl>
    <w:p w14:paraId="63CF9F24" w14:textId="77777777" w:rsidR="00191A81" w:rsidRDefault="00191A81">
      <w:pPr>
        <w:pStyle w:val="BodyText"/>
        <w:rPr>
          <w:b/>
          <w:sz w:val="24"/>
        </w:rPr>
      </w:pPr>
    </w:p>
    <w:p w14:paraId="2F1906B7" w14:textId="77777777" w:rsidR="00191A81" w:rsidRDefault="00191A81">
      <w:pPr>
        <w:pStyle w:val="BodyText"/>
        <w:spacing w:before="5"/>
        <w:rPr>
          <w:b/>
          <w:sz w:val="26"/>
        </w:rPr>
      </w:pPr>
    </w:p>
    <w:p w14:paraId="6E235DC3" w14:textId="77777777" w:rsidR="00191A81" w:rsidRDefault="005B1947" w:rsidP="00C96132">
      <w:pPr>
        <w:pStyle w:val="Heading3"/>
      </w:pPr>
      <w:r>
        <w:t>Study Numbers</w:t>
      </w:r>
    </w:p>
    <w:tbl>
      <w:tblPr>
        <w:tblStyle w:val="TableGrid"/>
        <w:tblW w:w="0" w:type="auto"/>
        <w:tblLayout w:type="fixed"/>
        <w:tblLook w:val="04A0" w:firstRow="1" w:lastRow="0" w:firstColumn="1" w:lastColumn="0" w:noHBand="0" w:noVBand="1"/>
        <w:tblDescription w:val="Study Numbers"/>
      </w:tblPr>
      <w:tblGrid>
        <w:gridCol w:w="1886"/>
        <w:gridCol w:w="7464"/>
      </w:tblGrid>
      <w:tr w:rsidR="00191A81" w14:paraId="069D240B" w14:textId="77777777" w:rsidTr="0089530D">
        <w:trPr>
          <w:trHeight w:val="268"/>
        </w:trPr>
        <w:tc>
          <w:tcPr>
            <w:tcW w:w="1886" w:type="dxa"/>
          </w:tcPr>
          <w:p w14:paraId="5DD10663" w14:textId="77777777" w:rsidR="00191A81" w:rsidRDefault="005B1947">
            <w:pPr>
              <w:pStyle w:val="TableParagraph"/>
              <w:spacing w:before="0" w:line="248" w:lineRule="exact"/>
              <w:rPr>
                <w:b/>
              </w:rPr>
            </w:pPr>
            <w:r>
              <w:rPr>
                <w:b/>
              </w:rPr>
              <w:t>STUDY_NUMBER</w:t>
            </w:r>
          </w:p>
        </w:tc>
        <w:tc>
          <w:tcPr>
            <w:tcW w:w="7464" w:type="dxa"/>
          </w:tcPr>
          <w:p w14:paraId="36EEEA3E" w14:textId="77777777" w:rsidR="00191A81" w:rsidRDefault="005B1947">
            <w:pPr>
              <w:pStyle w:val="TableParagraph"/>
              <w:spacing w:before="0" w:line="248" w:lineRule="exact"/>
              <w:ind w:left="105"/>
              <w:rPr>
                <w:b/>
              </w:rPr>
            </w:pPr>
            <w:r>
              <w:rPr>
                <w:b/>
              </w:rPr>
              <w:t>STUDY_NAME</w:t>
            </w:r>
          </w:p>
        </w:tc>
      </w:tr>
      <w:tr w:rsidR="00191A81" w14:paraId="51A0ED21" w14:textId="77777777" w:rsidTr="0089530D">
        <w:trPr>
          <w:trHeight w:val="241"/>
        </w:trPr>
        <w:tc>
          <w:tcPr>
            <w:tcW w:w="1886" w:type="dxa"/>
          </w:tcPr>
          <w:p w14:paraId="557C7377" w14:textId="77777777" w:rsidR="00191A81" w:rsidRDefault="005B1947">
            <w:pPr>
              <w:pStyle w:val="TableParagraph"/>
              <w:spacing w:before="0" w:line="222" w:lineRule="exact"/>
              <w:rPr>
                <w:sz w:val="20"/>
              </w:rPr>
            </w:pPr>
            <w:r>
              <w:rPr>
                <w:sz w:val="20"/>
              </w:rPr>
              <w:t>257</w:t>
            </w:r>
          </w:p>
        </w:tc>
        <w:tc>
          <w:tcPr>
            <w:tcW w:w="7464" w:type="dxa"/>
          </w:tcPr>
          <w:p w14:paraId="22668249" w14:textId="77777777" w:rsidR="00191A81" w:rsidRDefault="005B1947">
            <w:pPr>
              <w:pStyle w:val="TableParagraph"/>
              <w:spacing w:before="0" w:line="222" w:lineRule="exact"/>
              <w:ind w:left="105"/>
              <w:rPr>
                <w:sz w:val="20"/>
              </w:rPr>
            </w:pPr>
            <w:r>
              <w:rPr>
                <w:sz w:val="20"/>
              </w:rPr>
              <w:t>Air Monitoring Network</w:t>
            </w:r>
          </w:p>
        </w:tc>
      </w:tr>
      <w:tr w:rsidR="00191A81" w14:paraId="2325128B" w14:textId="77777777" w:rsidTr="0089530D">
        <w:trPr>
          <w:trHeight w:val="244"/>
        </w:trPr>
        <w:tc>
          <w:tcPr>
            <w:tcW w:w="1886" w:type="dxa"/>
          </w:tcPr>
          <w:p w14:paraId="25B5F730" w14:textId="77777777" w:rsidR="00191A81" w:rsidRDefault="005B1947">
            <w:pPr>
              <w:pStyle w:val="TableParagraph"/>
              <w:rPr>
                <w:sz w:val="20"/>
              </w:rPr>
            </w:pPr>
            <w:r>
              <w:rPr>
                <w:sz w:val="20"/>
              </w:rPr>
              <w:t>309</w:t>
            </w:r>
          </w:p>
        </w:tc>
        <w:tc>
          <w:tcPr>
            <w:tcW w:w="7464" w:type="dxa"/>
          </w:tcPr>
          <w:p w14:paraId="50D8AB00" w14:textId="77777777" w:rsidR="00191A81" w:rsidRDefault="005B1947">
            <w:pPr>
              <w:pStyle w:val="TableParagraph"/>
              <w:ind w:left="105"/>
              <w:rPr>
                <w:sz w:val="20"/>
              </w:rPr>
            </w:pPr>
            <w:r>
              <w:rPr>
                <w:sz w:val="20"/>
              </w:rPr>
              <w:t>Monitoring of 1,3-D in Merced and Fresno Counties</w:t>
            </w:r>
          </w:p>
        </w:tc>
      </w:tr>
      <w:tr w:rsidR="00BF5DAB" w14:paraId="4779DCF5" w14:textId="77777777" w:rsidTr="0089530D">
        <w:trPr>
          <w:trHeight w:val="244"/>
        </w:trPr>
        <w:tc>
          <w:tcPr>
            <w:tcW w:w="1886" w:type="dxa"/>
          </w:tcPr>
          <w:p w14:paraId="6045156B" w14:textId="77777777" w:rsidR="00BF5DAB" w:rsidRDefault="00BF5DAB">
            <w:pPr>
              <w:pStyle w:val="TableParagraph"/>
              <w:rPr>
                <w:sz w:val="20"/>
              </w:rPr>
            </w:pPr>
            <w:r>
              <w:rPr>
                <w:sz w:val="20"/>
              </w:rPr>
              <w:t>311</w:t>
            </w:r>
          </w:p>
        </w:tc>
        <w:tc>
          <w:tcPr>
            <w:tcW w:w="7464" w:type="dxa"/>
          </w:tcPr>
          <w:p w14:paraId="418286CA" w14:textId="563914D7" w:rsidR="00BF5DAB" w:rsidRDefault="00BF5DAB" w:rsidP="00BF5DAB">
            <w:pPr>
              <w:pStyle w:val="TableParagraph"/>
              <w:ind w:left="105"/>
              <w:rPr>
                <w:sz w:val="20"/>
              </w:rPr>
            </w:pPr>
            <w:r>
              <w:rPr>
                <w:sz w:val="20"/>
              </w:rPr>
              <w:t>Methyl Isothiocyanate (MITC) Seasonal Monitoring in Kern County, 2017</w:t>
            </w:r>
          </w:p>
        </w:tc>
      </w:tr>
      <w:tr w:rsidR="00191A81" w14:paraId="528CD991" w14:textId="77777777" w:rsidTr="0089530D">
        <w:trPr>
          <w:trHeight w:val="244"/>
        </w:trPr>
        <w:tc>
          <w:tcPr>
            <w:tcW w:w="1886" w:type="dxa"/>
          </w:tcPr>
          <w:p w14:paraId="291E85B0" w14:textId="77777777" w:rsidR="00191A81" w:rsidRDefault="005B1947">
            <w:pPr>
              <w:pStyle w:val="TableParagraph"/>
              <w:rPr>
                <w:sz w:val="20"/>
              </w:rPr>
            </w:pPr>
            <w:r>
              <w:rPr>
                <w:sz w:val="20"/>
              </w:rPr>
              <w:t>987</w:t>
            </w:r>
          </w:p>
        </w:tc>
        <w:tc>
          <w:tcPr>
            <w:tcW w:w="7464" w:type="dxa"/>
          </w:tcPr>
          <w:p w14:paraId="12FB6CE2" w14:textId="77777777" w:rsidR="00191A81" w:rsidRDefault="005B1947">
            <w:pPr>
              <w:pStyle w:val="TableParagraph"/>
              <w:ind w:left="105"/>
              <w:rPr>
                <w:sz w:val="20"/>
              </w:rPr>
            </w:pPr>
            <w:r>
              <w:rPr>
                <w:sz w:val="20"/>
              </w:rPr>
              <w:t>Organophosphate Monitoring in Kern County 2018</w:t>
            </w:r>
          </w:p>
        </w:tc>
      </w:tr>
      <w:tr w:rsidR="00191A81" w14:paraId="6436FFEF" w14:textId="77777777" w:rsidTr="0089530D">
        <w:trPr>
          <w:trHeight w:val="244"/>
        </w:trPr>
        <w:tc>
          <w:tcPr>
            <w:tcW w:w="1886" w:type="dxa"/>
          </w:tcPr>
          <w:p w14:paraId="008363C0" w14:textId="77777777" w:rsidR="00191A81" w:rsidRDefault="005B1947">
            <w:pPr>
              <w:pStyle w:val="TableParagraph"/>
              <w:rPr>
                <w:sz w:val="20"/>
              </w:rPr>
            </w:pPr>
            <w:r>
              <w:rPr>
                <w:sz w:val="20"/>
              </w:rPr>
              <w:t>989</w:t>
            </w:r>
          </w:p>
        </w:tc>
        <w:tc>
          <w:tcPr>
            <w:tcW w:w="7464" w:type="dxa"/>
          </w:tcPr>
          <w:p w14:paraId="4B966895" w14:textId="77777777" w:rsidR="00191A81" w:rsidRDefault="005B1947">
            <w:pPr>
              <w:pStyle w:val="TableParagraph"/>
              <w:ind w:left="105"/>
              <w:rPr>
                <w:sz w:val="20"/>
              </w:rPr>
            </w:pPr>
            <w:r>
              <w:rPr>
                <w:sz w:val="20"/>
              </w:rPr>
              <w:t>Seasonal Organophosphate Monitoring in Fresno and Tulare Counties 2018</w:t>
            </w:r>
          </w:p>
        </w:tc>
      </w:tr>
      <w:tr w:rsidR="00BF5DAB" w14:paraId="358CBDAF" w14:textId="77777777" w:rsidTr="0089530D">
        <w:trPr>
          <w:trHeight w:val="488"/>
        </w:trPr>
        <w:tc>
          <w:tcPr>
            <w:tcW w:w="1886" w:type="dxa"/>
          </w:tcPr>
          <w:p w14:paraId="2D055708" w14:textId="77777777" w:rsidR="00BF5DAB" w:rsidRDefault="00BF5DAB">
            <w:pPr>
              <w:pStyle w:val="TableParagraph"/>
              <w:spacing w:line="240" w:lineRule="auto"/>
              <w:rPr>
                <w:sz w:val="20"/>
              </w:rPr>
            </w:pPr>
            <w:r>
              <w:rPr>
                <w:sz w:val="20"/>
              </w:rPr>
              <w:t>990</w:t>
            </w:r>
          </w:p>
        </w:tc>
        <w:tc>
          <w:tcPr>
            <w:tcW w:w="7464" w:type="dxa"/>
          </w:tcPr>
          <w:p w14:paraId="40E89444" w14:textId="7D834A0F" w:rsidR="00BF5DAB" w:rsidRDefault="00BF5DAB" w:rsidP="00BF5DAB">
            <w:pPr>
              <w:pStyle w:val="TableParagraph"/>
              <w:spacing w:line="238" w:lineRule="exact"/>
              <w:ind w:left="105"/>
              <w:rPr>
                <w:sz w:val="20"/>
              </w:rPr>
            </w:pPr>
            <w:r>
              <w:rPr>
                <w:sz w:val="20"/>
              </w:rPr>
              <w:t>2017 Seasonal Ambient Monitoring for the Pesticide Active Ingredients Methyl Bromide and Chloropicrin in Siskiyou County</w:t>
            </w:r>
          </w:p>
        </w:tc>
      </w:tr>
      <w:tr w:rsidR="00191A81" w14:paraId="258BFF95" w14:textId="77777777" w:rsidTr="0089530D">
        <w:trPr>
          <w:trHeight w:val="486"/>
        </w:trPr>
        <w:tc>
          <w:tcPr>
            <w:tcW w:w="1886" w:type="dxa"/>
          </w:tcPr>
          <w:p w14:paraId="335E4111" w14:textId="77777777" w:rsidR="00191A81" w:rsidRDefault="005B1947">
            <w:pPr>
              <w:pStyle w:val="TableParagraph"/>
              <w:spacing w:line="240" w:lineRule="auto"/>
              <w:rPr>
                <w:sz w:val="20"/>
              </w:rPr>
            </w:pPr>
            <w:r>
              <w:rPr>
                <w:sz w:val="20"/>
              </w:rPr>
              <w:t>991</w:t>
            </w:r>
          </w:p>
        </w:tc>
        <w:tc>
          <w:tcPr>
            <w:tcW w:w="7464" w:type="dxa"/>
          </w:tcPr>
          <w:p w14:paraId="41F3081C" w14:textId="77777777" w:rsidR="00191A81" w:rsidRDefault="005B1947">
            <w:pPr>
              <w:pStyle w:val="TableParagraph"/>
              <w:spacing w:line="243" w:lineRule="exact"/>
              <w:ind w:left="105"/>
              <w:rPr>
                <w:sz w:val="20"/>
              </w:rPr>
            </w:pPr>
            <w:r>
              <w:rPr>
                <w:sz w:val="20"/>
              </w:rPr>
              <w:t>Winter/Spring 2017 Seasonal Ambient Monitoring for Methyl Isothiocyanate (MITC)</w:t>
            </w:r>
          </w:p>
          <w:p w14:paraId="238AF955" w14:textId="77777777" w:rsidR="00191A81" w:rsidRDefault="005B1947">
            <w:pPr>
              <w:pStyle w:val="TableParagraph"/>
              <w:spacing w:before="0" w:line="222" w:lineRule="exact"/>
              <w:ind w:left="105"/>
              <w:rPr>
                <w:sz w:val="20"/>
              </w:rPr>
            </w:pPr>
            <w:r>
              <w:rPr>
                <w:sz w:val="20"/>
              </w:rPr>
              <w:t>in Fresno County</w:t>
            </w:r>
          </w:p>
        </w:tc>
      </w:tr>
      <w:tr w:rsidR="00191A81" w14:paraId="2D6E7559" w14:textId="77777777" w:rsidTr="0089530D">
        <w:trPr>
          <w:trHeight w:val="244"/>
        </w:trPr>
        <w:tc>
          <w:tcPr>
            <w:tcW w:w="1886" w:type="dxa"/>
          </w:tcPr>
          <w:p w14:paraId="06D8B878" w14:textId="77777777" w:rsidR="00191A81" w:rsidRDefault="005B1947">
            <w:pPr>
              <w:pStyle w:val="TableParagraph"/>
              <w:rPr>
                <w:sz w:val="20"/>
              </w:rPr>
            </w:pPr>
            <w:r>
              <w:rPr>
                <w:sz w:val="20"/>
              </w:rPr>
              <w:t>992</w:t>
            </w:r>
          </w:p>
        </w:tc>
        <w:tc>
          <w:tcPr>
            <w:tcW w:w="7464" w:type="dxa"/>
          </w:tcPr>
          <w:p w14:paraId="4329960E" w14:textId="77777777" w:rsidR="00191A81" w:rsidRDefault="005B1947">
            <w:pPr>
              <w:pStyle w:val="TableParagraph"/>
              <w:ind w:left="105"/>
              <w:rPr>
                <w:sz w:val="20"/>
              </w:rPr>
            </w:pPr>
            <w:r>
              <w:rPr>
                <w:sz w:val="20"/>
              </w:rPr>
              <w:t>Chloropicrin Seasonal Monitoring in Santa Barbara County</w:t>
            </w:r>
          </w:p>
        </w:tc>
      </w:tr>
      <w:tr w:rsidR="00191A81" w14:paraId="737C1431" w14:textId="77777777" w:rsidTr="0089530D">
        <w:trPr>
          <w:trHeight w:val="244"/>
        </w:trPr>
        <w:tc>
          <w:tcPr>
            <w:tcW w:w="1886" w:type="dxa"/>
          </w:tcPr>
          <w:p w14:paraId="01989E25" w14:textId="77777777" w:rsidR="00191A81" w:rsidRDefault="005B1947">
            <w:pPr>
              <w:pStyle w:val="TableParagraph"/>
              <w:rPr>
                <w:sz w:val="20"/>
              </w:rPr>
            </w:pPr>
            <w:r>
              <w:rPr>
                <w:sz w:val="20"/>
              </w:rPr>
              <w:t>993</w:t>
            </w:r>
          </w:p>
        </w:tc>
        <w:tc>
          <w:tcPr>
            <w:tcW w:w="7464" w:type="dxa"/>
          </w:tcPr>
          <w:p w14:paraId="56F79781" w14:textId="77777777" w:rsidR="00191A81" w:rsidRDefault="005B1947">
            <w:pPr>
              <w:pStyle w:val="TableParagraph"/>
              <w:ind w:left="105"/>
              <w:rPr>
                <w:sz w:val="20"/>
              </w:rPr>
            </w:pPr>
            <w:r>
              <w:rPr>
                <w:sz w:val="20"/>
              </w:rPr>
              <w:t>Organophosphate Seasonal Monitoring in Imperial County 2018</w:t>
            </w:r>
          </w:p>
        </w:tc>
      </w:tr>
      <w:tr w:rsidR="00BF5DAB" w14:paraId="53BA74B4" w14:textId="77777777" w:rsidTr="0089530D">
        <w:trPr>
          <w:trHeight w:val="244"/>
        </w:trPr>
        <w:tc>
          <w:tcPr>
            <w:tcW w:w="1886" w:type="dxa"/>
          </w:tcPr>
          <w:p w14:paraId="7A1F896B" w14:textId="77777777" w:rsidR="00BF5DAB" w:rsidRDefault="00BF5DAB">
            <w:pPr>
              <w:pStyle w:val="TableParagraph"/>
              <w:rPr>
                <w:sz w:val="20"/>
              </w:rPr>
            </w:pPr>
            <w:r>
              <w:rPr>
                <w:sz w:val="20"/>
              </w:rPr>
              <w:t>999</w:t>
            </w:r>
          </w:p>
        </w:tc>
        <w:tc>
          <w:tcPr>
            <w:tcW w:w="7464" w:type="dxa"/>
          </w:tcPr>
          <w:p w14:paraId="2A492919" w14:textId="467C1E3A" w:rsidR="00BF5DAB" w:rsidRPr="00BF5DAB" w:rsidRDefault="00BF5DAB" w:rsidP="00BF5DAB">
            <w:pPr>
              <w:pStyle w:val="TableParagraph"/>
              <w:ind w:left="105"/>
              <w:rPr>
                <w:sz w:val="20"/>
              </w:rPr>
            </w:pPr>
            <w:r>
              <w:rPr>
                <w:sz w:val="20"/>
              </w:rPr>
              <w:t>Toxic Air Contaminant Monitoring</w:t>
            </w:r>
          </w:p>
        </w:tc>
      </w:tr>
    </w:tbl>
    <w:p w14:paraId="331C0850" w14:textId="77777777" w:rsidR="00191A81" w:rsidRDefault="00191A81">
      <w:pPr>
        <w:pStyle w:val="BodyText"/>
        <w:rPr>
          <w:b/>
          <w:sz w:val="24"/>
        </w:rPr>
      </w:pPr>
    </w:p>
    <w:p w14:paraId="6F0B8844" w14:textId="691B1B66" w:rsidR="00191A81" w:rsidRPr="00C96132" w:rsidRDefault="005B1947" w:rsidP="00C96132">
      <w:pPr>
        <w:pStyle w:val="Heading3"/>
      </w:pPr>
      <w:r>
        <w:t>Lab Codes</w:t>
      </w:r>
    </w:p>
    <w:tbl>
      <w:tblPr>
        <w:tblStyle w:val="TableGrid"/>
        <w:tblW w:w="0" w:type="auto"/>
        <w:tblLayout w:type="fixed"/>
        <w:tblLook w:val="04A0" w:firstRow="1" w:lastRow="0" w:firstColumn="1" w:lastColumn="0" w:noHBand="0" w:noVBand="1"/>
        <w:tblDescription w:val="Lab Codes"/>
      </w:tblPr>
      <w:tblGrid>
        <w:gridCol w:w="1706"/>
        <w:gridCol w:w="7648"/>
      </w:tblGrid>
      <w:tr w:rsidR="00191A81" w14:paraId="37FCC14C" w14:textId="77777777" w:rsidTr="0089530D">
        <w:trPr>
          <w:trHeight w:val="268"/>
        </w:trPr>
        <w:tc>
          <w:tcPr>
            <w:tcW w:w="1706" w:type="dxa"/>
          </w:tcPr>
          <w:p w14:paraId="287795FC" w14:textId="77777777" w:rsidR="00191A81" w:rsidRDefault="005B1947">
            <w:pPr>
              <w:pStyle w:val="TableParagraph"/>
              <w:spacing w:before="0" w:line="248" w:lineRule="exact"/>
              <w:rPr>
                <w:b/>
              </w:rPr>
            </w:pPr>
            <w:r>
              <w:rPr>
                <w:b/>
              </w:rPr>
              <w:t>LAB_CODE</w:t>
            </w:r>
          </w:p>
        </w:tc>
        <w:tc>
          <w:tcPr>
            <w:tcW w:w="7648" w:type="dxa"/>
          </w:tcPr>
          <w:p w14:paraId="0EC1B300" w14:textId="77777777" w:rsidR="00191A81" w:rsidRDefault="005B1947">
            <w:pPr>
              <w:pStyle w:val="TableParagraph"/>
              <w:spacing w:before="0" w:line="248" w:lineRule="exact"/>
              <w:ind w:left="105"/>
              <w:rPr>
                <w:b/>
              </w:rPr>
            </w:pPr>
            <w:r>
              <w:rPr>
                <w:b/>
              </w:rPr>
              <w:t>LAB_NAME</w:t>
            </w:r>
          </w:p>
        </w:tc>
      </w:tr>
      <w:tr w:rsidR="00191A81" w14:paraId="767AB26F" w14:textId="77777777" w:rsidTr="0089530D">
        <w:trPr>
          <w:trHeight w:val="244"/>
        </w:trPr>
        <w:tc>
          <w:tcPr>
            <w:tcW w:w="1706" w:type="dxa"/>
          </w:tcPr>
          <w:p w14:paraId="76904038" w14:textId="77777777" w:rsidR="00191A81" w:rsidRDefault="005B1947">
            <w:pPr>
              <w:pStyle w:val="TableParagraph"/>
              <w:rPr>
                <w:sz w:val="20"/>
              </w:rPr>
            </w:pPr>
            <w:r>
              <w:rPr>
                <w:sz w:val="20"/>
              </w:rPr>
              <w:t>ARB</w:t>
            </w:r>
          </w:p>
        </w:tc>
        <w:tc>
          <w:tcPr>
            <w:tcW w:w="7648" w:type="dxa"/>
          </w:tcPr>
          <w:p w14:paraId="16FCACB7" w14:textId="77777777" w:rsidR="00191A81" w:rsidRDefault="005B1947">
            <w:pPr>
              <w:pStyle w:val="TableParagraph"/>
              <w:ind w:left="105"/>
              <w:rPr>
                <w:sz w:val="20"/>
              </w:rPr>
            </w:pPr>
            <w:r>
              <w:rPr>
                <w:sz w:val="20"/>
              </w:rPr>
              <w:t>Air Resources Board: Northern Organics Laboratory Section</w:t>
            </w:r>
          </w:p>
        </w:tc>
      </w:tr>
      <w:tr w:rsidR="00191A81" w14:paraId="54CC6BF5" w14:textId="77777777" w:rsidTr="0089530D">
        <w:trPr>
          <w:trHeight w:val="244"/>
        </w:trPr>
        <w:tc>
          <w:tcPr>
            <w:tcW w:w="1706" w:type="dxa"/>
          </w:tcPr>
          <w:p w14:paraId="5C1C30E0" w14:textId="77777777" w:rsidR="00191A81" w:rsidRDefault="005B1947">
            <w:pPr>
              <w:pStyle w:val="TableParagraph"/>
              <w:rPr>
                <w:sz w:val="20"/>
              </w:rPr>
            </w:pPr>
            <w:r>
              <w:rPr>
                <w:sz w:val="20"/>
              </w:rPr>
              <w:t>CDFA</w:t>
            </w:r>
          </w:p>
        </w:tc>
        <w:tc>
          <w:tcPr>
            <w:tcW w:w="7648" w:type="dxa"/>
          </w:tcPr>
          <w:p w14:paraId="408BF896" w14:textId="77777777" w:rsidR="00191A81" w:rsidRDefault="005B1947">
            <w:pPr>
              <w:pStyle w:val="TableParagraph"/>
              <w:ind w:left="105"/>
              <w:rPr>
                <w:sz w:val="20"/>
              </w:rPr>
            </w:pPr>
            <w:r>
              <w:rPr>
                <w:sz w:val="20"/>
              </w:rPr>
              <w:t>California Department of Food and Agriculture: Center for Analytical Chemistry Laboratory</w:t>
            </w:r>
          </w:p>
        </w:tc>
      </w:tr>
    </w:tbl>
    <w:p w14:paraId="41566B33" w14:textId="77777777" w:rsidR="00191A81" w:rsidRDefault="00191A81">
      <w:pPr>
        <w:pStyle w:val="BodyText"/>
        <w:rPr>
          <w:b/>
          <w:sz w:val="24"/>
        </w:rPr>
      </w:pPr>
    </w:p>
    <w:p w14:paraId="2B5B4B29" w14:textId="77777777" w:rsidR="00191A81" w:rsidRDefault="00191A81">
      <w:pPr>
        <w:pStyle w:val="BodyText"/>
        <w:spacing w:before="10"/>
        <w:rPr>
          <w:b/>
          <w:sz w:val="17"/>
        </w:rPr>
      </w:pPr>
    </w:p>
    <w:p w14:paraId="685F303F" w14:textId="77777777" w:rsidR="00191A81" w:rsidRDefault="005B1947" w:rsidP="00C96132">
      <w:pPr>
        <w:pStyle w:val="Heading3"/>
      </w:pPr>
      <w:r>
        <w:lastRenderedPageBreak/>
        <w:t>Sampling Agencies</w:t>
      </w:r>
    </w:p>
    <w:p w14:paraId="26CABE40" w14:textId="77777777" w:rsidR="00191A81" w:rsidRDefault="00191A81">
      <w:pPr>
        <w:pStyle w:val="BodyText"/>
        <w:spacing w:before="4"/>
        <w:rPr>
          <w:b/>
          <w:sz w:val="5"/>
        </w:rPr>
      </w:pPr>
    </w:p>
    <w:tbl>
      <w:tblPr>
        <w:tblStyle w:val="TableGrid"/>
        <w:tblW w:w="0" w:type="auto"/>
        <w:tblLayout w:type="fixed"/>
        <w:tblLook w:val="04A0" w:firstRow="1" w:lastRow="0" w:firstColumn="1" w:lastColumn="0" w:noHBand="0" w:noVBand="1"/>
        <w:tblCaption w:val="Sampling Agencies"/>
        <w:tblDescription w:val="Sampling Agencies"/>
      </w:tblPr>
      <w:tblGrid>
        <w:gridCol w:w="2431"/>
        <w:gridCol w:w="4680"/>
      </w:tblGrid>
      <w:tr w:rsidR="00191A81" w14:paraId="3454EAC4" w14:textId="77777777" w:rsidTr="0089530D">
        <w:trPr>
          <w:trHeight w:val="268"/>
        </w:trPr>
        <w:tc>
          <w:tcPr>
            <w:tcW w:w="2431" w:type="dxa"/>
          </w:tcPr>
          <w:p w14:paraId="4AF15D2A" w14:textId="77777777" w:rsidR="00191A81" w:rsidRDefault="005B1947">
            <w:pPr>
              <w:pStyle w:val="TableParagraph"/>
              <w:spacing w:before="0" w:line="248" w:lineRule="exact"/>
              <w:rPr>
                <w:b/>
              </w:rPr>
            </w:pPr>
            <w:r>
              <w:rPr>
                <w:b/>
              </w:rPr>
              <w:t>SAMPLING_AGENCY</w:t>
            </w:r>
          </w:p>
        </w:tc>
        <w:tc>
          <w:tcPr>
            <w:tcW w:w="4680" w:type="dxa"/>
          </w:tcPr>
          <w:p w14:paraId="288FEBC7" w14:textId="77777777" w:rsidR="00191A81" w:rsidRDefault="005B1947">
            <w:pPr>
              <w:pStyle w:val="TableParagraph"/>
              <w:spacing w:before="0" w:line="248" w:lineRule="exact"/>
              <w:rPr>
                <w:b/>
              </w:rPr>
            </w:pPr>
            <w:r>
              <w:rPr>
                <w:b/>
              </w:rPr>
              <w:t>AGENCY_NAME</w:t>
            </w:r>
          </w:p>
        </w:tc>
      </w:tr>
      <w:tr w:rsidR="00191A81" w14:paraId="00C7ABAC" w14:textId="77777777" w:rsidTr="0089530D">
        <w:trPr>
          <w:trHeight w:val="244"/>
        </w:trPr>
        <w:tc>
          <w:tcPr>
            <w:tcW w:w="2431" w:type="dxa"/>
          </w:tcPr>
          <w:p w14:paraId="38BF20E5" w14:textId="77777777" w:rsidR="00191A81" w:rsidRDefault="005B1947">
            <w:pPr>
              <w:pStyle w:val="TableParagraph"/>
              <w:rPr>
                <w:sz w:val="20"/>
              </w:rPr>
            </w:pPr>
            <w:r>
              <w:rPr>
                <w:sz w:val="20"/>
              </w:rPr>
              <w:t>ARB</w:t>
            </w:r>
          </w:p>
        </w:tc>
        <w:tc>
          <w:tcPr>
            <w:tcW w:w="4680" w:type="dxa"/>
          </w:tcPr>
          <w:p w14:paraId="175DB3CE" w14:textId="77777777" w:rsidR="00191A81" w:rsidRDefault="005B1947">
            <w:pPr>
              <w:pStyle w:val="TableParagraph"/>
              <w:rPr>
                <w:sz w:val="20"/>
              </w:rPr>
            </w:pPr>
            <w:r>
              <w:rPr>
                <w:sz w:val="20"/>
              </w:rPr>
              <w:t>California Air Resources Board</w:t>
            </w:r>
          </w:p>
        </w:tc>
      </w:tr>
      <w:tr w:rsidR="00191A81" w14:paraId="0ED28758" w14:textId="77777777" w:rsidTr="0089530D">
        <w:trPr>
          <w:trHeight w:val="244"/>
        </w:trPr>
        <w:tc>
          <w:tcPr>
            <w:tcW w:w="2431" w:type="dxa"/>
          </w:tcPr>
          <w:p w14:paraId="0711A40E" w14:textId="77777777" w:rsidR="00191A81" w:rsidRDefault="005B1947">
            <w:pPr>
              <w:pStyle w:val="TableParagraph"/>
              <w:rPr>
                <w:sz w:val="20"/>
              </w:rPr>
            </w:pPr>
            <w:r>
              <w:rPr>
                <w:sz w:val="20"/>
              </w:rPr>
              <w:t>DPR</w:t>
            </w:r>
          </w:p>
        </w:tc>
        <w:tc>
          <w:tcPr>
            <w:tcW w:w="4680" w:type="dxa"/>
          </w:tcPr>
          <w:p w14:paraId="4ACF53E6" w14:textId="77777777" w:rsidR="00191A81" w:rsidRDefault="005B1947">
            <w:pPr>
              <w:pStyle w:val="TableParagraph"/>
              <w:rPr>
                <w:sz w:val="20"/>
              </w:rPr>
            </w:pPr>
            <w:r>
              <w:rPr>
                <w:sz w:val="20"/>
              </w:rPr>
              <w:t>California Department of Pesticide Regulation</w:t>
            </w:r>
          </w:p>
        </w:tc>
      </w:tr>
      <w:tr w:rsidR="00516024" w14:paraId="17E18394" w14:textId="77777777" w:rsidTr="0089530D">
        <w:trPr>
          <w:trHeight w:val="244"/>
        </w:trPr>
        <w:tc>
          <w:tcPr>
            <w:tcW w:w="2431" w:type="dxa"/>
          </w:tcPr>
          <w:p w14:paraId="753B4B2B" w14:textId="56D0AD1D" w:rsidR="00516024" w:rsidRDefault="00516024">
            <w:pPr>
              <w:pStyle w:val="TableParagraph"/>
              <w:rPr>
                <w:sz w:val="20"/>
              </w:rPr>
            </w:pPr>
            <w:r>
              <w:rPr>
                <w:sz w:val="20"/>
              </w:rPr>
              <w:t>SBCAC</w:t>
            </w:r>
          </w:p>
        </w:tc>
        <w:tc>
          <w:tcPr>
            <w:tcW w:w="4680" w:type="dxa"/>
          </w:tcPr>
          <w:p w14:paraId="7EBF9C70" w14:textId="4E443473" w:rsidR="00516024" w:rsidRDefault="00516024">
            <w:pPr>
              <w:pStyle w:val="TableParagraph"/>
              <w:rPr>
                <w:sz w:val="20"/>
              </w:rPr>
            </w:pPr>
            <w:r>
              <w:rPr>
                <w:sz w:val="20"/>
              </w:rPr>
              <w:t>Santa Barbara County Agriculture Commissioner</w:t>
            </w:r>
          </w:p>
        </w:tc>
      </w:tr>
      <w:tr w:rsidR="00516024" w14:paraId="57CF75C4" w14:textId="77777777" w:rsidTr="0089530D">
        <w:trPr>
          <w:trHeight w:val="244"/>
        </w:trPr>
        <w:tc>
          <w:tcPr>
            <w:tcW w:w="2431" w:type="dxa"/>
          </w:tcPr>
          <w:p w14:paraId="349C9A08" w14:textId="19F5ACE5" w:rsidR="00516024" w:rsidRDefault="00516024">
            <w:pPr>
              <w:pStyle w:val="TableParagraph"/>
              <w:rPr>
                <w:sz w:val="20"/>
              </w:rPr>
            </w:pPr>
            <w:r>
              <w:rPr>
                <w:sz w:val="20"/>
              </w:rPr>
              <w:t>VCAC</w:t>
            </w:r>
          </w:p>
        </w:tc>
        <w:tc>
          <w:tcPr>
            <w:tcW w:w="4680" w:type="dxa"/>
          </w:tcPr>
          <w:p w14:paraId="76CDFF7E" w14:textId="299D0934" w:rsidR="00516024" w:rsidRDefault="00810B21">
            <w:pPr>
              <w:pStyle w:val="TableParagraph"/>
              <w:rPr>
                <w:sz w:val="20"/>
              </w:rPr>
            </w:pPr>
            <w:r>
              <w:rPr>
                <w:sz w:val="20"/>
              </w:rPr>
              <w:t>Ventura County Agriculture Commissioner</w:t>
            </w:r>
          </w:p>
        </w:tc>
      </w:tr>
    </w:tbl>
    <w:p w14:paraId="3D9F029A" w14:textId="77777777" w:rsidR="00191A81" w:rsidRDefault="00191A81">
      <w:pPr>
        <w:rPr>
          <w:sz w:val="20"/>
        </w:rPr>
        <w:sectPr w:rsidR="00191A81">
          <w:pgSz w:w="12240" w:h="15840"/>
          <w:pgMar w:top="1400" w:right="860" w:bottom="280" w:left="1320" w:header="720" w:footer="720" w:gutter="0"/>
          <w:cols w:space="720"/>
        </w:sectPr>
      </w:pPr>
    </w:p>
    <w:p w14:paraId="0EB332F9" w14:textId="4FF707C6" w:rsidR="00191A81" w:rsidRPr="00C96132" w:rsidRDefault="005B1947" w:rsidP="00C96132">
      <w:pPr>
        <w:pStyle w:val="Heading3"/>
      </w:pPr>
      <w:r>
        <w:lastRenderedPageBreak/>
        <w:t>Chemical</w:t>
      </w:r>
    </w:p>
    <w:tbl>
      <w:tblPr>
        <w:tblStyle w:val="TableGrid"/>
        <w:tblW w:w="0" w:type="auto"/>
        <w:tblLayout w:type="fixed"/>
        <w:tblLook w:val="04A0" w:firstRow="1" w:lastRow="0" w:firstColumn="1" w:lastColumn="0" w:noHBand="0" w:noVBand="1"/>
        <w:tblCaption w:val="Chemical Table"/>
        <w:tblDescription w:val="Chemical Names and molar mass"/>
      </w:tblPr>
      <w:tblGrid>
        <w:gridCol w:w="2875"/>
        <w:gridCol w:w="3150"/>
      </w:tblGrid>
      <w:tr w:rsidR="00DE0893" w14:paraId="601CDAED" w14:textId="77777777" w:rsidTr="0089530D">
        <w:trPr>
          <w:trHeight w:val="268"/>
        </w:trPr>
        <w:tc>
          <w:tcPr>
            <w:tcW w:w="2875" w:type="dxa"/>
          </w:tcPr>
          <w:p w14:paraId="0BB73A60" w14:textId="77777777" w:rsidR="00DE0893" w:rsidRDefault="00DE0893">
            <w:pPr>
              <w:pStyle w:val="TableParagraph"/>
              <w:spacing w:before="0" w:line="248" w:lineRule="exact"/>
              <w:rPr>
                <w:b/>
              </w:rPr>
            </w:pPr>
            <w:r>
              <w:rPr>
                <w:b/>
              </w:rPr>
              <w:t>CHEMICAL_NAME</w:t>
            </w:r>
          </w:p>
        </w:tc>
        <w:tc>
          <w:tcPr>
            <w:tcW w:w="3150" w:type="dxa"/>
          </w:tcPr>
          <w:p w14:paraId="378ABA61" w14:textId="61590D11" w:rsidR="00DE0893" w:rsidRDefault="00DE0893" w:rsidP="00DE0893">
            <w:pPr>
              <w:pStyle w:val="TableParagraph"/>
              <w:spacing w:before="0" w:line="248" w:lineRule="exact"/>
              <w:ind w:left="108"/>
              <w:rPr>
                <w:b/>
              </w:rPr>
            </w:pPr>
            <w:r>
              <w:rPr>
                <w:b/>
              </w:rPr>
              <w:t>MOLAR_MASS (g/mol)</w:t>
            </w:r>
          </w:p>
        </w:tc>
      </w:tr>
      <w:tr w:rsidR="00191A81" w14:paraId="46A84E3A" w14:textId="77777777" w:rsidTr="0089530D">
        <w:trPr>
          <w:trHeight w:val="244"/>
        </w:trPr>
        <w:tc>
          <w:tcPr>
            <w:tcW w:w="2875" w:type="dxa"/>
          </w:tcPr>
          <w:p w14:paraId="4E079F12" w14:textId="77777777" w:rsidR="00191A81" w:rsidRDefault="005B1947">
            <w:pPr>
              <w:pStyle w:val="TableParagraph"/>
              <w:rPr>
                <w:sz w:val="20"/>
              </w:rPr>
            </w:pPr>
            <w:r>
              <w:rPr>
                <w:sz w:val="20"/>
              </w:rPr>
              <w:t>1,3-dichloropropene</w:t>
            </w:r>
          </w:p>
        </w:tc>
        <w:tc>
          <w:tcPr>
            <w:tcW w:w="3150" w:type="dxa"/>
          </w:tcPr>
          <w:p w14:paraId="156E61BD" w14:textId="77777777" w:rsidR="00191A81" w:rsidRDefault="005B1947">
            <w:pPr>
              <w:pStyle w:val="TableParagraph"/>
              <w:ind w:left="1089" w:right="1082"/>
              <w:jc w:val="center"/>
              <w:rPr>
                <w:sz w:val="20"/>
              </w:rPr>
            </w:pPr>
            <w:r>
              <w:rPr>
                <w:sz w:val="20"/>
              </w:rPr>
              <w:t>110.970</w:t>
            </w:r>
          </w:p>
        </w:tc>
      </w:tr>
      <w:tr w:rsidR="00191A81" w14:paraId="0DE1414C" w14:textId="77777777" w:rsidTr="0089530D">
        <w:trPr>
          <w:trHeight w:val="299"/>
        </w:trPr>
        <w:tc>
          <w:tcPr>
            <w:tcW w:w="2875" w:type="dxa"/>
          </w:tcPr>
          <w:p w14:paraId="41CDD43F" w14:textId="77777777" w:rsidR="00191A81" w:rsidRDefault="005B1947">
            <w:pPr>
              <w:pStyle w:val="TableParagraph"/>
              <w:spacing w:line="240" w:lineRule="auto"/>
              <w:rPr>
                <w:sz w:val="20"/>
              </w:rPr>
            </w:pPr>
            <w:proofErr w:type="spellStart"/>
            <w:r>
              <w:rPr>
                <w:sz w:val="20"/>
              </w:rPr>
              <w:t>Acephate</w:t>
            </w:r>
            <w:proofErr w:type="spellEnd"/>
          </w:p>
        </w:tc>
        <w:tc>
          <w:tcPr>
            <w:tcW w:w="3150" w:type="dxa"/>
          </w:tcPr>
          <w:p w14:paraId="1054522D" w14:textId="77777777" w:rsidR="00191A81" w:rsidRDefault="005B1947">
            <w:pPr>
              <w:pStyle w:val="TableParagraph"/>
              <w:spacing w:before="27" w:line="240" w:lineRule="auto"/>
              <w:ind w:left="1089" w:right="1082"/>
              <w:jc w:val="center"/>
              <w:rPr>
                <w:sz w:val="20"/>
              </w:rPr>
            </w:pPr>
            <w:r>
              <w:rPr>
                <w:sz w:val="20"/>
              </w:rPr>
              <w:t>183.162</w:t>
            </w:r>
          </w:p>
        </w:tc>
      </w:tr>
      <w:tr w:rsidR="00191A81" w14:paraId="35FC1D86" w14:textId="77777777" w:rsidTr="0089530D">
        <w:trPr>
          <w:trHeight w:val="244"/>
        </w:trPr>
        <w:tc>
          <w:tcPr>
            <w:tcW w:w="2875" w:type="dxa"/>
          </w:tcPr>
          <w:p w14:paraId="1592B5E3" w14:textId="77777777" w:rsidR="00191A81" w:rsidRDefault="005B1947">
            <w:pPr>
              <w:pStyle w:val="TableParagraph"/>
              <w:rPr>
                <w:sz w:val="20"/>
              </w:rPr>
            </w:pPr>
            <w:proofErr w:type="spellStart"/>
            <w:r>
              <w:rPr>
                <w:sz w:val="20"/>
              </w:rPr>
              <w:t>Bensulide</w:t>
            </w:r>
            <w:proofErr w:type="spellEnd"/>
          </w:p>
        </w:tc>
        <w:tc>
          <w:tcPr>
            <w:tcW w:w="3150" w:type="dxa"/>
          </w:tcPr>
          <w:p w14:paraId="38587E90" w14:textId="77777777" w:rsidR="00191A81" w:rsidRDefault="005B1947">
            <w:pPr>
              <w:pStyle w:val="TableParagraph"/>
              <w:ind w:left="1089" w:right="1082"/>
              <w:jc w:val="center"/>
              <w:rPr>
                <w:sz w:val="20"/>
              </w:rPr>
            </w:pPr>
            <w:r>
              <w:rPr>
                <w:sz w:val="20"/>
              </w:rPr>
              <w:t>397.503</w:t>
            </w:r>
          </w:p>
        </w:tc>
      </w:tr>
      <w:tr w:rsidR="00810B21" w14:paraId="2EAACAD0" w14:textId="77777777" w:rsidTr="0089530D">
        <w:trPr>
          <w:trHeight w:val="244"/>
        </w:trPr>
        <w:tc>
          <w:tcPr>
            <w:tcW w:w="2875" w:type="dxa"/>
          </w:tcPr>
          <w:p w14:paraId="01CB59AF" w14:textId="3B31B778" w:rsidR="00810B21" w:rsidRDefault="00810B21">
            <w:pPr>
              <w:pStyle w:val="TableParagraph"/>
              <w:rPr>
                <w:sz w:val="20"/>
              </w:rPr>
            </w:pPr>
            <w:proofErr w:type="spellStart"/>
            <w:r>
              <w:rPr>
                <w:sz w:val="20"/>
              </w:rPr>
              <w:t>Captan</w:t>
            </w:r>
            <w:proofErr w:type="spellEnd"/>
          </w:p>
        </w:tc>
        <w:tc>
          <w:tcPr>
            <w:tcW w:w="3150" w:type="dxa"/>
          </w:tcPr>
          <w:p w14:paraId="713C3ADB" w14:textId="67A03D1E" w:rsidR="00810B21" w:rsidRDefault="00810B21">
            <w:pPr>
              <w:pStyle w:val="TableParagraph"/>
              <w:ind w:left="1089" w:right="1082"/>
              <w:jc w:val="center"/>
              <w:rPr>
                <w:sz w:val="20"/>
              </w:rPr>
            </w:pPr>
            <w:r w:rsidRPr="00810B21">
              <w:rPr>
                <w:sz w:val="20"/>
              </w:rPr>
              <w:t>300.59</w:t>
            </w:r>
            <w:r>
              <w:rPr>
                <w:sz w:val="20"/>
              </w:rPr>
              <w:t>0</w:t>
            </w:r>
          </w:p>
        </w:tc>
      </w:tr>
      <w:tr w:rsidR="00191A81" w14:paraId="58F71B20" w14:textId="77777777" w:rsidTr="0089530D">
        <w:trPr>
          <w:trHeight w:val="244"/>
        </w:trPr>
        <w:tc>
          <w:tcPr>
            <w:tcW w:w="2875" w:type="dxa"/>
          </w:tcPr>
          <w:p w14:paraId="240574E6" w14:textId="77777777" w:rsidR="00191A81" w:rsidRDefault="005B1947">
            <w:pPr>
              <w:pStyle w:val="TableParagraph"/>
              <w:rPr>
                <w:sz w:val="20"/>
              </w:rPr>
            </w:pPr>
            <w:r>
              <w:rPr>
                <w:sz w:val="20"/>
              </w:rPr>
              <w:t>Chloropicrin</w:t>
            </w:r>
          </w:p>
        </w:tc>
        <w:tc>
          <w:tcPr>
            <w:tcW w:w="3150" w:type="dxa"/>
          </w:tcPr>
          <w:p w14:paraId="00625F85" w14:textId="77777777" w:rsidR="00191A81" w:rsidRDefault="005B1947">
            <w:pPr>
              <w:pStyle w:val="TableParagraph"/>
              <w:ind w:left="1089" w:right="1082"/>
              <w:jc w:val="center"/>
              <w:rPr>
                <w:sz w:val="20"/>
              </w:rPr>
            </w:pPr>
            <w:r>
              <w:rPr>
                <w:sz w:val="20"/>
              </w:rPr>
              <w:t>164.366</w:t>
            </w:r>
          </w:p>
        </w:tc>
      </w:tr>
      <w:tr w:rsidR="00191A81" w14:paraId="57C40894" w14:textId="77777777" w:rsidTr="0089530D">
        <w:trPr>
          <w:trHeight w:val="242"/>
        </w:trPr>
        <w:tc>
          <w:tcPr>
            <w:tcW w:w="2875" w:type="dxa"/>
          </w:tcPr>
          <w:p w14:paraId="1AD8821B" w14:textId="77777777" w:rsidR="00191A81" w:rsidRDefault="005B1947">
            <w:pPr>
              <w:pStyle w:val="TableParagraph"/>
              <w:spacing w:before="0" w:line="222" w:lineRule="exact"/>
              <w:rPr>
                <w:sz w:val="20"/>
              </w:rPr>
            </w:pPr>
            <w:r>
              <w:rPr>
                <w:sz w:val="20"/>
              </w:rPr>
              <w:t>Chlorothalonil</w:t>
            </w:r>
          </w:p>
        </w:tc>
        <w:tc>
          <w:tcPr>
            <w:tcW w:w="3150" w:type="dxa"/>
          </w:tcPr>
          <w:p w14:paraId="7F0401BF" w14:textId="77777777" w:rsidR="00191A81" w:rsidRDefault="005B1947">
            <w:pPr>
              <w:pStyle w:val="TableParagraph"/>
              <w:spacing w:before="0" w:line="222" w:lineRule="exact"/>
              <w:ind w:left="1089" w:right="1082"/>
              <w:jc w:val="center"/>
              <w:rPr>
                <w:sz w:val="20"/>
              </w:rPr>
            </w:pPr>
            <w:r>
              <w:rPr>
                <w:sz w:val="20"/>
              </w:rPr>
              <w:t>265.910</w:t>
            </w:r>
          </w:p>
        </w:tc>
      </w:tr>
      <w:tr w:rsidR="00191A81" w14:paraId="6CC4ACE1" w14:textId="77777777" w:rsidTr="0089530D">
        <w:trPr>
          <w:trHeight w:val="244"/>
        </w:trPr>
        <w:tc>
          <w:tcPr>
            <w:tcW w:w="2875" w:type="dxa"/>
          </w:tcPr>
          <w:p w14:paraId="1689E9EA" w14:textId="77777777" w:rsidR="00191A81" w:rsidRDefault="005B1947">
            <w:pPr>
              <w:pStyle w:val="TableParagraph"/>
              <w:rPr>
                <w:sz w:val="20"/>
              </w:rPr>
            </w:pPr>
            <w:r>
              <w:rPr>
                <w:sz w:val="20"/>
              </w:rPr>
              <w:t>Chlorpyrifos</w:t>
            </w:r>
          </w:p>
        </w:tc>
        <w:tc>
          <w:tcPr>
            <w:tcW w:w="3150" w:type="dxa"/>
          </w:tcPr>
          <w:p w14:paraId="43DF68CF" w14:textId="77777777" w:rsidR="00191A81" w:rsidRDefault="005B1947">
            <w:pPr>
              <w:pStyle w:val="TableParagraph"/>
              <w:ind w:left="1089" w:right="1082"/>
              <w:jc w:val="center"/>
              <w:rPr>
                <w:sz w:val="20"/>
              </w:rPr>
            </w:pPr>
            <w:r>
              <w:rPr>
                <w:sz w:val="20"/>
              </w:rPr>
              <w:t>350.575</w:t>
            </w:r>
          </w:p>
        </w:tc>
      </w:tr>
      <w:tr w:rsidR="00191A81" w14:paraId="3F02BE9D" w14:textId="77777777" w:rsidTr="0089530D">
        <w:trPr>
          <w:trHeight w:val="244"/>
        </w:trPr>
        <w:tc>
          <w:tcPr>
            <w:tcW w:w="2875" w:type="dxa"/>
          </w:tcPr>
          <w:p w14:paraId="50293237" w14:textId="77777777" w:rsidR="00191A81" w:rsidRDefault="005B1947">
            <w:pPr>
              <w:pStyle w:val="TableParagraph"/>
              <w:rPr>
                <w:sz w:val="20"/>
              </w:rPr>
            </w:pPr>
            <w:r>
              <w:rPr>
                <w:sz w:val="20"/>
              </w:rPr>
              <w:t xml:space="preserve">Chlorpyrifos </w:t>
            </w:r>
            <w:proofErr w:type="spellStart"/>
            <w:r>
              <w:rPr>
                <w:sz w:val="20"/>
              </w:rPr>
              <w:t>oa</w:t>
            </w:r>
            <w:proofErr w:type="spellEnd"/>
          </w:p>
        </w:tc>
        <w:tc>
          <w:tcPr>
            <w:tcW w:w="3150" w:type="dxa"/>
          </w:tcPr>
          <w:p w14:paraId="57785932" w14:textId="77777777" w:rsidR="00191A81" w:rsidRDefault="005B1947">
            <w:pPr>
              <w:pStyle w:val="TableParagraph"/>
              <w:ind w:left="1089" w:right="1082"/>
              <w:jc w:val="center"/>
              <w:rPr>
                <w:sz w:val="20"/>
              </w:rPr>
            </w:pPr>
            <w:r>
              <w:rPr>
                <w:sz w:val="20"/>
              </w:rPr>
              <w:t>334.514</w:t>
            </w:r>
          </w:p>
        </w:tc>
      </w:tr>
      <w:tr w:rsidR="00191A81" w14:paraId="53440445" w14:textId="77777777" w:rsidTr="0089530D">
        <w:trPr>
          <w:trHeight w:val="244"/>
        </w:trPr>
        <w:tc>
          <w:tcPr>
            <w:tcW w:w="2875" w:type="dxa"/>
          </w:tcPr>
          <w:p w14:paraId="675752A4" w14:textId="77777777" w:rsidR="00191A81" w:rsidRDefault="005B1947">
            <w:pPr>
              <w:pStyle w:val="TableParagraph"/>
              <w:rPr>
                <w:sz w:val="20"/>
              </w:rPr>
            </w:pPr>
            <w:r>
              <w:rPr>
                <w:sz w:val="20"/>
              </w:rPr>
              <w:t>Cypermethrin</w:t>
            </w:r>
          </w:p>
        </w:tc>
        <w:tc>
          <w:tcPr>
            <w:tcW w:w="3150" w:type="dxa"/>
          </w:tcPr>
          <w:p w14:paraId="1C0A53F8" w14:textId="77777777" w:rsidR="00191A81" w:rsidRDefault="005B1947">
            <w:pPr>
              <w:pStyle w:val="TableParagraph"/>
              <w:ind w:left="1089" w:right="1082"/>
              <w:jc w:val="center"/>
              <w:rPr>
                <w:sz w:val="20"/>
              </w:rPr>
            </w:pPr>
            <w:r>
              <w:rPr>
                <w:sz w:val="20"/>
              </w:rPr>
              <w:t>416.298</w:t>
            </w:r>
          </w:p>
        </w:tc>
      </w:tr>
      <w:tr w:rsidR="00191A81" w14:paraId="293821B8" w14:textId="77777777" w:rsidTr="0089530D">
        <w:trPr>
          <w:trHeight w:val="244"/>
        </w:trPr>
        <w:tc>
          <w:tcPr>
            <w:tcW w:w="2875" w:type="dxa"/>
          </w:tcPr>
          <w:p w14:paraId="7364A73A" w14:textId="77777777" w:rsidR="00191A81" w:rsidRDefault="005B1947">
            <w:pPr>
              <w:pStyle w:val="TableParagraph"/>
              <w:rPr>
                <w:sz w:val="20"/>
              </w:rPr>
            </w:pPr>
            <w:proofErr w:type="spellStart"/>
            <w:r>
              <w:rPr>
                <w:sz w:val="20"/>
              </w:rPr>
              <w:t>Dacthal</w:t>
            </w:r>
            <w:proofErr w:type="spellEnd"/>
          </w:p>
        </w:tc>
        <w:tc>
          <w:tcPr>
            <w:tcW w:w="3150" w:type="dxa"/>
          </w:tcPr>
          <w:p w14:paraId="777045F1" w14:textId="77777777" w:rsidR="00191A81" w:rsidRDefault="005B1947">
            <w:pPr>
              <w:pStyle w:val="TableParagraph"/>
              <w:ind w:left="1089" w:right="1082"/>
              <w:jc w:val="center"/>
              <w:rPr>
                <w:sz w:val="20"/>
              </w:rPr>
            </w:pPr>
            <w:r>
              <w:rPr>
                <w:sz w:val="20"/>
              </w:rPr>
              <w:t>331.954</w:t>
            </w:r>
          </w:p>
        </w:tc>
      </w:tr>
      <w:tr w:rsidR="00191A81" w14:paraId="4E47D3FA" w14:textId="77777777" w:rsidTr="0089530D">
        <w:trPr>
          <w:trHeight w:val="244"/>
        </w:trPr>
        <w:tc>
          <w:tcPr>
            <w:tcW w:w="2875" w:type="dxa"/>
          </w:tcPr>
          <w:p w14:paraId="69724A5C" w14:textId="77777777" w:rsidR="00191A81" w:rsidRDefault="005B1947">
            <w:pPr>
              <w:pStyle w:val="TableParagraph"/>
              <w:rPr>
                <w:sz w:val="20"/>
              </w:rPr>
            </w:pPr>
            <w:r>
              <w:rPr>
                <w:sz w:val="20"/>
              </w:rPr>
              <w:t>DDVP</w:t>
            </w:r>
          </w:p>
        </w:tc>
        <w:tc>
          <w:tcPr>
            <w:tcW w:w="3150" w:type="dxa"/>
          </w:tcPr>
          <w:p w14:paraId="609BA64D" w14:textId="77777777" w:rsidR="00191A81" w:rsidRDefault="005B1947">
            <w:pPr>
              <w:pStyle w:val="TableParagraph"/>
              <w:ind w:left="1089" w:right="1082"/>
              <w:jc w:val="center"/>
              <w:rPr>
                <w:sz w:val="20"/>
              </w:rPr>
            </w:pPr>
            <w:r>
              <w:rPr>
                <w:sz w:val="20"/>
              </w:rPr>
              <w:t>220.970</w:t>
            </w:r>
          </w:p>
        </w:tc>
      </w:tr>
      <w:tr w:rsidR="00191A81" w14:paraId="0EDD1121" w14:textId="77777777" w:rsidTr="0089530D">
        <w:trPr>
          <w:trHeight w:val="244"/>
        </w:trPr>
        <w:tc>
          <w:tcPr>
            <w:tcW w:w="2875" w:type="dxa"/>
          </w:tcPr>
          <w:p w14:paraId="349C0F43" w14:textId="77777777" w:rsidR="00191A81" w:rsidRDefault="005B1947">
            <w:pPr>
              <w:pStyle w:val="TableParagraph"/>
              <w:rPr>
                <w:sz w:val="20"/>
              </w:rPr>
            </w:pPr>
            <w:r>
              <w:rPr>
                <w:sz w:val="20"/>
              </w:rPr>
              <w:t>DEF</w:t>
            </w:r>
          </w:p>
        </w:tc>
        <w:tc>
          <w:tcPr>
            <w:tcW w:w="3150" w:type="dxa"/>
          </w:tcPr>
          <w:p w14:paraId="62025754" w14:textId="77777777" w:rsidR="00191A81" w:rsidRDefault="005B1947">
            <w:pPr>
              <w:pStyle w:val="TableParagraph"/>
              <w:ind w:left="1089" w:right="1082"/>
              <w:jc w:val="center"/>
              <w:rPr>
                <w:sz w:val="20"/>
              </w:rPr>
            </w:pPr>
            <w:r>
              <w:rPr>
                <w:sz w:val="20"/>
              </w:rPr>
              <w:t>314.501</w:t>
            </w:r>
          </w:p>
        </w:tc>
      </w:tr>
      <w:tr w:rsidR="00191A81" w14:paraId="6F52ABFD" w14:textId="77777777" w:rsidTr="0089530D">
        <w:trPr>
          <w:trHeight w:val="244"/>
        </w:trPr>
        <w:tc>
          <w:tcPr>
            <w:tcW w:w="2875" w:type="dxa"/>
          </w:tcPr>
          <w:p w14:paraId="51E6C9C6" w14:textId="77777777" w:rsidR="00191A81" w:rsidRDefault="005B1947">
            <w:pPr>
              <w:pStyle w:val="TableParagraph"/>
              <w:rPr>
                <w:sz w:val="20"/>
              </w:rPr>
            </w:pPr>
            <w:r>
              <w:rPr>
                <w:sz w:val="20"/>
              </w:rPr>
              <w:t>Diazinon</w:t>
            </w:r>
          </w:p>
        </w:tc>
        <w:tc>
          <w:tcPr>
            <w:tcW w:w="3150" w:type="dxa"/>
          </w:tcPr>
          <w:p w14:paraId="1DD77FE8" w14:textId="77777777" w:rsidR="00191A81" w:rsidRDefault="005B1947">
            <w:pPr>
              <w:pStyle w:val="TableParagraph"/>
              <w:ind w:left="1089" w:right="1082"/>
              <w:jc w:val="center"/>
              <w:rPr>
                <w:sz w:val="20"/>
              </w:rPr>
            </w:pPr>
            <w:r>
              <w:rPr>
                <w:sz w:val="20"/>
              </w:rPr>
              <w:t>304.345</w:t>
            </w:r>
          </w:p>
        </w:tc>
      </w:tr>
      <w:tr w:rsidR="00191A81" w14:paraId="2827E007" w14:textId="77777777" w:rsidTr="0089530D">
        <w:trPr>
          <w:trHeight w:val="244"/>
        </w:trPr>
        <w:tc>
          <w:tcPr>
            <w:tcW w:w="2875" w:type="dxa"/>
          </w:tcPr>
          <w:p w14:paraId="519CF867" w14:textId="77777777" w:rsidR="00191A81" w:rsidRDefault="005B1947">
            <w:pPr>
              <w:pStyle w:val="TableParagraph"/>
              <w:rPr>
                <w:sz w:val="20"/>
              </w:rPr>
            </w:pPr>
            <w:r>
              <w:rPr>
                <w:sz w:val="20"/>
              </w:rPr>
              <w:t xml:space="preserve">Diazinon </w:t>
            </w:r>
            <w:proofErr w:type="spellStart"/>
            <w:r>
              <w:rPr>
                <w:sz w:val="20"/>
              </w:rPr>
              <w:t>oa</w:t>
            </w:r>
            <w:proofErr w:type="spellEnd"/>
          </w:p>
        </w:tc>
        <w:tc>
          <w:tcPr>
            <w:tcW w:w="3150" w:type="dxa"/>
          </w:tcPr>
          <w:p w14:paraId="0DF26C0D" w14:textId="77777777" w:rsidR="00191A81" w:rsidRDefault="005B1947">
            <w:pPr>
              <w:pStyle w:val="TableParagraph"/>
              <w:ind w:left="1089" w:right="1082"/>
              <w:jc w:val="center"/>
              <w:rPr>
                <w:sz w:val="20"/>
              </w:rPr>
            </w:pPr>
            <w:r>
              <w:rPr>
                <w:sz w:val="20"/>
              </w:rPr>
              <w:t>288.284</w:t>
            </w:r>
          </w:p>
        </w:tc>
      </w:tr>
      <w:tr w:rsidR="00191A81" w14:paraId="3C1068B7" w14:textId="77777777" w:rsidTr="0089530D">
        <w:trPr>
          <w:trHeight w:val="242"/>
        </w:trPr>
        <w:tc>
          <w:tcPr>
            <w:tcW w:w="2875" w:type="dxa"/>
          </w:tcPr>
          <w:p w14:paraId="1CCA33F4" w14:textId="77777777" w:rsidR="00191A81" w:rsidRDefault="005B1947">
            <w:pPr>
              <w:pStyle w:val="TableParagraph"/>
              <w:spacing w:before="0" w:line="222" w:lineRule="exact"/>
              <w:rPr>
                <w:sz w:val="20"/>
              </w:rPr>
            </w:pPr>
            <w:r>
              <w:rPr>
                <w:sz w:val="20"/>
              </w:rPr>
              <w:t>Dimethoate</w:t>
            </w:r>
          </w:p>
        </w:tc>
        <w:tc>
          <w:tcPr>
            <w:tcW w:w="3150" w:type="dxa"/>
          </w:tcPr>
          <w:p w14:paraId="1437CF17" w14:textId="77777777" w:rsidR="00191A81" w:rsidRDefault="005B1947">
            <w:pPr>
              <w:pStyle w:val="TableParagraph"/>
              <w:spacing w:before="0" w:line="222" w:lineRule="exact"/>
              <w:ind w:left="1089" w:right="1082"/>
              <w:jc w:val="center"/>
              <w:rPr>
                <w:sz w:val="20"/>
              </w:rPr>
            </w:pPr>
            <w:r>
              <w:rPr>
                <w:sz w:val="20"/>
              </w:rPr>
              <w:t>229.249</w:t>
            </w:r>
          </w:p>
        </w:tc>
      </w:tr>
      <w:tr w:rsidR="00191A81" w14:paraId="36A6CABF" w14:textId="77777777" w:rsidTr="0089530D">
        <w:trPr>
          <w:trHeight w:val="244"/>
        </w:trPr>
        <w:tc>
          <w:tcPr>
            <w:tcW w:w="2875" w:type="dxa"/>
          </w:tcPr>
          <w:p w14:paraId="5C8E19A2" w14:textId="77777777" w:rsidR="00191A81" w:rsidRDefault="005B1947">
            <w:pPr>
              <w:pStyle w:val="TableParagraph"/>
              <w:rPr>
                <w:sz w:val="20"/>
              </w:rPr>
            </w:pPr>
            <w:r>
              <w:rPr>
                <w:sz w:val="20"/>
              </w:rPr>
              <w:t xml:space="preserve">Dimethoate </w:t>
            </w:r>
            <w:proofErr w:type="spellStart"/>
            <w:r>
              <w:rPr>
                <w:sz w:val="20"/>
              </w:rPr>
              <w:t>oa</w:t>
            </w:r>
            <w:proofErr w:type="spellEnd"/>
          </w:p>
        </w:tc>
        <w:tc>
          <w:tcPr>
            <w:tcW w:w="3150" w:type="dxa"/>
          </w:tcPr>
          <w:p w14:paraId="527A3DEF" w14:textId="77777777" w:rsidR="00191A81" w:rsidRDefault="005B1947">
            <w:pPr>
              <w:pStyle w:val="TableParagraph"/>
              <w:ind w:left="1089" w:right="1082"/>
              <w:jc w:val="center"/>
              <w:rPr>
                <w:sz w:val="20"/>
              </w:rPr>
            </w:pPr>
            <w:r>
              <w:rPr>
                <w:sz w:val="20"/>
              </w:rPr>
              <w:t>213.188</w:t>
            </w:r>
          </w:p>
        </w:tc>
      </w:tr>
      <w:tr w:rsidR="00191A81" w14:paraId="2170E5CB" w14:textId="77777777" w:rsidTr="0089530D">
        <w:trPr>
          <w:trHeight w:val="244"/>
        </w:trPr>
        <w:tc>
          <w:tcPr>
            <w:tcW w:w="2875" w:type="dxa"/>
          </w:tcPr>
          <w:p w14:paraId="37BCE1D2" w14:textId="77777777" w:rsidR="00191A81" w:rsidRDefault="005B1947">
            <w:pPr>
              <w:pStyle w:val="TableParagraph"/>
              <w:rPr>
                <w:sz w:val="20"/>
              </w:rPr>
            </w:pPr>
            <w:r>
              <w:rPr>
                <w:sz w:val="20"/>
              </w:rPr>
              <w:t>Diuron</w:t>
            </w:r>
          </w:p>
        </w:tc>
        <w:tc>
          <w:tcPr>
            <w:tcW w:w="3150" w:type="dxa"/>
          </w:tcPr>
          <w:p w14:paraId="6430065C" w14:textId="77777777" w:rsidR="00191A81" w:rsidRDefault="005B1947">
            <w:pPr>
              <w:pStyle w:val="TableParagraph"/>
              <w:ind w:left="1089" w:right="1082"/>
              <w:jc w:val="center"/>
              <w:rPr>
                <w:sz w:val="20"/>
              </w:rPr>
            </w:pPr>
            <w:r>
              <w:rPr>
                <w:sz w:val="20"/>
              </w:rPr>
              <w:t>233.092</w:t>
            </w:r>
          </w:p>
        </w:tc>
      </w:tr>
      <w:tr w:rsidR="00191A81" w14:paraId="46C48178" w14:textId="77777777" w:rsidTr="0089530D">
        <w:trPr>
          <w:trHeight w:val="244"/>
        </w:trPr>
        <w:tc>
          <w:tcPr>
            <w:tcW w:w="2875" w:type="dxa"/>
          </w:tcPr>
          <w:p w14:paraId="032C6595" w14:textId="77777777" w:rsidR="00191A81" w:rsidRDefault="005B1947">
            <w:pPr>
              <w:pStyle w:val="TableParagraph"/>
              <w:rPr>
                <w:sz w:val="20"/>
              </w:rPr>
            </w:pPr>
            <w:proofErr w:type="spellStart"/>
            <w:r>
              <w:rPr>
                <w:sz w:val="20"/>
              </w:rPr>
              <w:t>Endolsulfan</w:t>
            </w:r>
            <w:proofErr w:type="spellEnd"/>
          </w:p>
        </w:tc>
        <w:tc>
          <w:tcPr>
            <w:tcW w:w="3150" w:type="dxa"/>
          </w:tcPr>
          <w:p w14:paraId="5941A785" w14:textId="77777777" w:rsidR="00191A81" w:rsidRDefault="005B1947">
            <w:pPr>
              <w:pStyle w:val="TableParagraph"/>
              <w:ind w:left="1089" w:right="1082"/>
              <w:jc w:val="center"/>
              <w:rPr>
                <w:sz w:val="20"/>
              </w:rPr>
            </w:pPr>
            <w:r>
              <w:rPr>
                <w:sz w:val="20"/>
              </w:rPr>
              <w:t>406.904</w:t>
            </w:r>
          </w:p>
        </w:tc>
      </w:tr>
      <w:tr w:rsidR="00191A81" w14:paraId="30538E9F" w14:textId="77777777" w:rsidTr="0089530D">
        <w:trPr>
          <w:trHeight w:val="244"/>
        </w:trPr>
        <w:tc>
          <w:tcPr>
            <w:tcW w:w="2875" w:type="dxa"/>
          </w:tcPr>
          <w:p w14:paraId="7BA7B580" w14:textId="77777777" w:rsidR="00191A81" w:rsidRDefault="005B1947">
            <w:pPr>
              <w:pStyle w:val="TableParagraph"/>
              <w:rPr>
                <w:sz w:val="20"/>
              </w:rPr>
            </w:pPr>
            <w:proofErr w:type="spellStart"/>
            <w:r>
              <w:rPr>
                <w:sz w:val="20"/>
              </w:rPr>
              <w:t>Endosulfan</w:t>
            </w:r>
            <w:proofErr w:type="spellEnd"/>
            <w:r>
              <w:rPr>
                <w:sz w:val="20"/>
              </w:rPr>
              <w:t xml:space="preserve"> Sulfate</w:t>
            </w:r>
          </w:p>
        </w:tc>
        <w:tc>
          <w:tcPr>
            <w:tcW w:w="3150" w:type="dxa"/>
          </w:tcPr>
          <w:p w14:paraId="6BEAF8B1" w14:textId="77777777" w:rsidR="00191A81" w:rsidRDefault="005B1947">
            <w:pPr>
              <w:pStyle w:val="TableParagraph"/>
              <w:ind w:left="1089" w:right="1082"/>
              <w:jc w:val="center"/>
              <w:rPr>
                <w:sz w:val="20"/>
              </w:rPr>
            </w:pPr>
            <w:r>
              <w:rPr>
                <w:sz w:val="20"/>
              </w:rPr>
              <w:t>422.903</w:t>
            </w:r>
          </w:p>
        </w:tc>
      </w:tr>
      <w:tr w:rsidR="00191A81" w14:paraId="7F0B1B05" w14:textId="77777777" w:rsidTr="0089530D">
        <w:trPr>
          <w:trHeight w:val="244"/>
        </w:trPr>
        <w:tc>
          <w:tcPr>
            <w:tcW w:w="2875" w:type="dxa"/>
          </w:tcPr>
          <w:p w14:paraId="10932808" w14:textId="77777777" w:rsidR="00191A81" w:rsidRDefault="005B1947">
            <w:pPr>
              <w:pStyle w:val="TableParagraph"/>
              <w:rPr>
                <w:sz w:val="20"/>
              </w:rPr>
            </w:pPr>
            <w:r>
              <w:rPr>
                <w:sz w:val="20"/>
              </w:rPr>
              <w:t>EPTC</w:t>
            </w:r>
          </w:p>
        </w:tc>
        <w:tc>
          <w:tcPr>
            <w:tcW w:w="3150" w:type="dxa"/>
          </w:tcPr>
          <w:p w14:paraId="78736C35" w14:textId="77777777" w:rsidR="00191A81" w:rsidRDefault="005B1947">
            <w:pPr>
              <w:pStyle w:val="TableParagraph"/>
              <w:ind w:left="1089" w:right="1082"/>
              <w:jc w:val="center"/>
              <w:rPr>
                <w:sz w:val="20"/>
              </w:rPr>
            </w:pPr>
            <w:r>
              <w:rPr>
                <w:sz w:val="20"/>
              </w:rPr>
              <w:t>189.317</w:t>
            </w:r>
          </w:p>
        </w:tc>
      </w:tr>
      <w:tr w:rsidR="00810B21" w14:paraId="4F55FD32" w14:textId="77777777" w:rsidTr="0089530D">
        <w:trPr>
          <w:trHeight w:val="244"/>
        </w:trPr>
        <w:tc>
          <w:tcPr>
            <w:tcW w:w="2875" w:type="dxa"/>
          </w:tcPr>
          <w:p w14:paraId="19D469E1" w14:textId="4A91EEE5" w:rsidR="00810B21" w:rsidRDefault="00810B21">
            <w:pPr>
              <w:pStyle w:val="TableParagraph"/>
              <w:rPr>
                <w:sz w:val="20"/>
              </w:rPr>
            </w:pPr>
            <w:proofErr w:type="spellStart"/>
            <w:r w:rsidRPr="00810B21">
              <w:rPr>
                <w:sz w:val="20"/>
              </w:rPr>
              <w:t>Fenpyroximate</w:t>
            </w:r>
            <w:proofErr w:type="spellEnd"/>
          </w:p>
        </w:tc>
        <w:tc>
          <w:tcPr>
            <w:tcW w:w="3150" w:type="dxa"/>
          </w:tcPr>
          <w:p w14:paraId="04EE91A4" w14:textId="1AC59DCB" w:rsidR="00810B21" w:rsidRDefault="00810B21">
            <w:pPr>
              <w:pStyle w:val="TableParagraph"/>
              <w:ind w:left="1089" w:right="1082"/>
              <w:jc w:val="center"/>
              <w:rPr>
                <w:sz w:val="20"/>
              </w:rPr>
            </w:pPr>
            <w:r w:rsidRPr="00810B21">
              <w:rPr>
                <w:sz w:val="20"/>
              </w:rPr>
              <w:t>421.49</w:t>
            </w:r>
            <w:r>
              <w:rPr>
                <w:sz w:val="20"/>
              </w:rPr>
              <w:t>0</w:t>
            </w:r>
          </w:p>
        </w:tc>
      </w:tr>
      <w:tr w:rsidR="00191A81" w14:paraId="434BBEC4" w14:textId="77777777" w:rsidTr="0089530D">
        <w:trPr>
          <w:trHeight w:val="244"/>
        </w:trPr>
        <w:tc>
          <w:tcPr>
            <w:tcW w:w="2875" w:type="dxa"/>
          </w:tcPr>
          <w:p w14:paraId="68189310" w14:textId="77777777" w:rsidR="00191A81" w:rsidRDefault="005B1947">
            <w:pPr>
              <w:pStyle w:val="TableParagraph"/>
              <w:rPr>
                <w:sz w:val="20"/>
              </w:rPr>
            </w:pPr>
            <w:r>
              <w:rPr>
                <w:sz w:val="20"/>
              </w:rPr>
              <w:t>Iprodione</w:t>
            </w:r>
          </w:p>
        </w:tc>
        <w:tc>
          <w:tcPr>
            <w:tcW w:w="3150" w:type="dxa"/>
          </w:tcPr>
          <w:p w14:paraId="11CEBD95" w14:textId="77777777" w:rsidR="00191A81" w:rsidRDefault="005B1947">
            <w:pPr>
              <w:pStyle w:val="TableParagraph"/>
              <w:ind w:left="1089" w:right="1082"/>
              <w:jc w:val="center"/>
              <w:rPr>
                <w:sz w:val="20"/>
              </w:rPr>
            </w:pPr>
            <w:r>
              <w:rPr>
                <w:sz w:val="20"/>
              </w:rPr>
              <w:t>330.165</w:t>
            </w:r>
          </w:p>
        </w:tc>
      </w:tr>
      <w:tr w:rsidR="00191A81" w14:paraId="0BB8FCF4" w14:textId="77777777" w:rsidTr="0089530D">
        <w:trPr>
          <w:trHeight w:val="244"/>
        </w:trPr>
        <w:tc>
          <w:tcPr>
            <w:tcW w:w="2875" w:type="dxa"/>
          </w:tcPr>
          <w:p w14:paraId="4BE2438A" w14:textId="77777777" w:rsidR="00191A81" w:rsidRDefault="005B1947">
            <w:pPr>
              <w:pStyle w:val="TableParagraph"/>
              <w:rPr>
                <w:sz w:val="20"/>
              </w:rPr>
            </w:pPr>
            <w:r>
              <w:rPr>
                <w:sz w:val="20"/>
              </w:rPr>
              <w:t>Malathion</w:t>
            </w:r>
          </w:p>
        </w:tc>
        <w:tc>
          <w:tcPr>
            <w:tcW w:w="3150" w:type="dxa"/>
          </w:tcPr>
          <w:p w14:paraId="4245D2E9" w14:textId="77777777" w:rsidR="00191A81" w:rsidRDefault="005B1947">
            <w:pPr>
              <w:pStyle w:val="TableParagraph"/>
              <w:ind w:left="1089" w:right="1082"/>
              <w:jc w:val="center"/>
              <w:rPr>
                <w:sz w:val="20"/>
              </w:rPr>
            </w:pPr>
            <w:r>
              <w:rPr>
                <w:sz w:val="20"/>
              </w:rPr>
              <w:t>330.350</w:t>
            </w:r>
          </w:p>
        </w:tc>
      </w:tr>
      <w:tr w:rsidR="00191A81" w14:paraId="608E1493" w14:textId="77777777" w:rsidTr="0089530D">
        <w:trPr>
          <w:trHeight w:val="244"/>
        </w:trPr>
        <w:tc>
          <w:tcPr>
            <w:tcW w:w="2875" w:type="dxa"/>
          </w:tcPr>
          <w:p w14:paraId="52CCDAFB" w14:textId="77777777" w:rsidR="00191A81" w:rsidRDefault="005B1947">
            <w:pPr>
              <w:pStyle w:val="TableParagraph"/>
              <w:rPr>
                <w:sz w:val="20"/>
              </w:rPr>
            </w:pPr>
            <w:r>
              <w:rPr>
                <w:sz w:val="20"/>
              </w:rPr>
              <w:t xml:space="preserve">Malathion </w:t>
            </w:r>
            <w:proofErr w:type="spellStart"/>
            <w:r>
              <w:rPr>
                <w:sz w:val="20"/>
              </w:rPr>
              <w:t>oa</w:t>
            </w:r>
            <w:proofErr w:type="spellEnd"/>
          </w:p>
        </w:tc>
        <w:tc>
          <w:tcPr>
            <w:tcW w:w="3150" w:type="dxa"/>
          </w:tcPr>
          <w:p w14:paraId="17F9ADD2" w14:textId="77777777" w:rsidR="00191A81" w:rsidRDefault="005B1947">
            <w:pPr>
              <w:pStyle w:val="TableParagraph"/>
              <w:ind w:left="1089" w:right="1082"/>
              <w:jc w:val="center"/>
              <w:rPr>
                <w:sz w:val="20"/>
              </w:rPr>
            </w:pPr>
            <w:r>
              <w:rPr>
                <w:sz w:val="20"/>
              </w:rPr>
              <w:t>314.289</w:t>
            </w:r>
          </w:p>
        </w:tc>
      </w:tr>
      <w:tr w:rsidR="00191A81" w14:paraId="021E8E37" w14:textId="77777777" w:rsidTr="0089530D">
        <w:trPr>
          <w:trHeight w:val="241"/>
        </w:trPr>
        <w:tc>
          <w:tcPr>
            <w:tcW w:w="2875" w:type="dxa"/>
          </w:tcPr>
          <w:p w14:paraId="45B82996" w14:textId="77777777" w:rsidR="00191A81" w:rsidRDefault="005B1947">
            <w:pPr>
              <w:pStyle w:val="TableParagraph"/>
              <w:spacing w:before="0" w:line="222" w:lineRule="exact"/>
              <w:rPr>
                <w:sz w:val="20"/>
              </w:rPr>
            </w:pPr>
            <w:r>
              <w:rPr>
                <w:sz w:val="20"/>
              </w:rPr>
              <w:t>Methidathion</w:t>
            </w:r>
          </w:p>
        </w:tc>
        <w:tc>
          <w:tcPr>
            <w:tcW w:w="3150" w:type="dxa"/>
          </w:tcPr>
          <w:p w14:paraId="452045B2" w14:textId="77777777" w:rsidR="00191A81" w:rsidRDefault="005B1947">
            <w:pPr>
              <w:pStyle w:val="TableParagraph"/>
              <w:spacing w:before="0" w:line="222" w:lineRule="exact"/>
              <w:ind w:left="1089" w:right="1082"/>
              <w:jc w:val="center"/>
              <w:rPr>
                <w:sz w:val="20"/>
              </w:rPr>
            </w:pPr>
            <w:r>
              <w:rPr>
                <w:sz w:val="20"/>
              </w:rPr>
              <w:t>302.318</w:t>
            </w:r>
          </w:p>
        </w:tc>
      </w:tr>
      <w:tr w:rsidR="00810B21" w14:paraId="42D152A4" w14:textId="77777777" w:rsidTr="0089530D">
        <w:trPr>
          <w:trHeight w:val="244"/>
        </w:trPr>
        <w:tc>
          <w:tcPr>
            <w:tcW w:w="2875" w:type="dxa"/>
          </w:tcPr>
          <w:p w14:paraId="7F321AA2" w14:textId="5DA17ED5" w:rsidR="00810B21" w:rsidRDefault="00810B21">
            <w:pPr>
              <w:pStyle w:val="TableParagraph"/>
              <w:rPr>
                <w:sz w:val="20"/>
              </w:rPr>
            </w:pPr>
            <w:r w:rsidRPr="00810B21">
              <w:rPr>
                <w:sz w:val="20"/>
              </w:rPr>
              <w:t>Methomyl</w:t>
            </w:r>
          </w:p>
        </w:tc>
        <w:tc>
          <w:tcPr>
            <w:tcW w:w="3150" w:type="dxa"/>
          </w:tcPr>
          <w:p w14:paraId="4034C0B2" w14:textId="5FBA0796" w:rsidR="00810B21" w:rsidRDefault="00810B21">
            <w:pPr>
              <w:pStyle w:val="TableParagraph"/>
              <w:ind w:left="1089" w:right="1082"/>
              <w:jc w:val="center"/>
              <w:rPr>
                <w:sz w:val="20"/>
              </w:rPr>
            </w:pPr>
            <w:r w:rsidRPr="00810B21">
              <w:rPr>
                <w:sz w:val="20"/>
              </w:rPr>
              <w:t>162.2</w:t>
            </w:r>
            <w:r>
              <w:rPr>
                <w:sz w:val="20"/>
              </w:rPr>
              <w:t>00</w:t>
            </w:r>
          </w:p>
        </w:tc>
      </w:tr>
      <w:tr w:rsidR="00191A81" w14:paraId="197F36FB" w14:textId="77777777" w:rsidTr="0089530D">
        <w:trPr>
          <w:trHeight w:val="244"/>
        </w:trPr>
        <w:tc>
          <w:tcPr>
            <w:tcW w:w="2875" w:type="dxa"/>
          </w:tcPr>
          <w:p w14:paraId="69429192" w14:textId="77777777" w:rsidR="00191A81" w:rsidRDefault="005B1947">
            <w:pPr>
              <w:pStyle w:val="TableParagraph"/>
              <w:rPr>
                <w:sz w:val="20"/>
              </w:rPr>
            </w:pPr>
            <w:r>
              <w:rPr>
                <w:sz w:val="20"/>
              </w:rPr>
              <w:t>Methyl Bromide</w:t>
            </w:r>
          </w:p>
        </w:tc>
        <w:tc>
          <w:tcPr>
            <w:tcW w:w="3150" w:type="dxa"/>
          </w:tcPr>
          <w:p w14:paraId="39D773B8" w14:textId="77777777" w:rsidR="00191A81" w:rsidRDefault="005B1947">
            <w:pPr>
              <w:pStyle w:val="TableParagraph"/>
              <w:ind w:left="1089" w:right="1082"/>
              <w:jc w:val="center"/>
              <w:rPr>
                <w:sz w:val="20"/>
              </w:rPr>
            </w:pPr>
            <w:r>
              <w:rPr>
                <w:sz w:val="20"/>
              </w:rPr>
              <w:t>94.939</w:t>
            </w:r>
          </w:p>
        </w:tc>
      </w:tr>
      <w:tr w:rsidR="00191A81" w14:paraId="1464BEF1" w14:textId="77777777" w:rsidTr="0089530D">
        <w:trPr>
          <w:trHeight w:val="244"/>
        </w:trPr>
        <w:tc>
          <w:tcPr>
            <w:tcW w:w="2875" w:type="dxa"/>
          </w:tcPr>
          <w:p w14:paraId="406D0C8E" w14:textId="77777777" w:rsidR="00191A81" w:rsidRDefault="005B1947">
            <w:pPr>
              <w:pStyle w:val="TableParagraph"/>
              <w:rPr>
                <w:sz w:val="20"/>
              </w:rPr>
            </w:pPr>
            <w:r>
              <w:rPr>
                <w:sz w:val="20"/>
              </w:rPr>
              <w:t>Metolachlor (S-Metolachlor)</w:t>
            </w:r>
          </w:p>
        </w:tc>
        <w:tc>
          <w:tcPr>
            <w:tcW w:w="3150" w:type="dxa"/>
          </w:tcPr>
          <w:p w14:paraId="32878777" w14:textId="77777777" w:rsidR="00191A81" w:rsidRDefault="005B1947">
            <w:pPr>
              <w:pStyle w:val="TableParagraph"/>
              <w:ind w:left="1089" w:right="1082"/>
              <w:jc w:val="center"/>
              <w:rPr>
                <w:sz w:val="20"/>
              </w:rPr>
            </w:pPr>
            <w:r>
              <w:rPr>
                <w:sz w:val="20"/>
              </w:rPr>
              <w:t>283.796</w:t>
            </w:r>
          </w:p>
        </w:tc>
      </w:tr>
      <w:tr w:rsidR="00191A81" w14:paraId="78B94B47" w14:textId="77777777" w:rsidTr="0089530D">
        <w:trPr>
          <w:trHeight w:val="244"/>
        </w:trPr>
        <w:tc>
          <w:tcPr>
            <w:tcW w:w="2875" w:type="dxa"/>
          </w:tcPr>
          <w:p w14:paraId="77FDEDCD" w14:textId="77777777" w:rsidR="00191A81" w:rsidRDefault="005B1947">
            <w:pPr>
              <w:pStyle w:val="TableParagraph"/>
              <w:rPr>
                <w:sz w:val="20"/>
              </w:rPr>
            </w:pPr>
            <w:r>
              <w:rPr>
                <w:sz w:val="20"/>
              </w:rPr>
              <w:t>MITC</w:t>
            </w:r>
          </w:p>
        </w:tc>
        <w:tc>
          <w:tcPr>
            <w:tcW w:w="3150" w:type="dxa"/>
          </w:tcPr>
          <w:p w14:paraId="6398D1E6" w14:textId="77777777" w:rsidR="00191A81" w:rsidRDefault="005B1947">
            <w:pPr>
              <w:pStyle w:val="TableParagraph"/>
              <w:ind w:left="1089" w:right="1082"/>
              <w:jc w:val="center"/>
              <w:rPr>
                <w:sz w:val="20"/>
              </w:rPr>
            </w:pPr>
            <w:r>
              <w:rPr>
                <w:sz w:val="20"/>
              </w:rPr>
              <w:t>73.120</w:t>
            </w:r>
          </w:p>
        </w:tc>
      </w:tr>
      <w:tr w:rsidR="00191A81" w14:paraId="4B14FE44" w14:textId="77777777" w:rsidTr="0089530D">
        <w:trPr>
          <w:trHeight w:val="244"/>
        </w:trPr>
        <w:tc>
          <w:tcPr>
            <w:tcW w:w="2875" w:type="dxa"/>
          </w:tcPr>
          <w:p w14:paraId="7789E41E" w14:textId="77777777" w:rsidR="00191A81" w:rsidRDefault="005B1947">
            <w:pPr>
              <w:pStyle w:val="TableParagraph"/>
              <w:rPr>
                <w:sz w:val="20"/>
              </w:rPr>
            </w:pPr>
            <w:r>
              <w:rPr>
                <w:sz w:val="20"/>
              </w:rPr>
              <w:t>Norflurazon</w:t>
            </w:r>
          </w:p>
        </w:tc>
        <w:tc>
          <w:tcPr>
            <w:tcW w:w="3150" w:type="dxa"/>
          </w:tcPr>
          <w:p w14:paraId="00014086" w14:textId="77777777" w:rsidR="00191A81" w:rsidRDefault="005B1947">
            <w:pPr>
              <w:pStyle w:val="TableParagraph"/>
              <w:ind w:left="1089" w:right="1082"/>
              <w:jc w:val="center"/>
              <w:rPr>
                <w:sz w:val="20"/>
              </w:rPr>
            </w:pPr>
            <w:r>
              <w:rPr>
                <w:sz w:val="20"/>
              </w:rPr>
              <w:t>330.669</w:t>
            </w:r>
          </w:p>
        </w:tc>
      </w:tr>
      <w:tr w:rsidR="00191A81" w14:paraId="23A811D8" w14:textId="77777777" w:rsidTr="0089530D">
        <w:trPr>
          <w:trHeight w:val="244"/>
        </w:trPr>
        <w:tc>
          <w:tcPr>
            <w:tcW w:w="2875" w:type="dxa"/>
          </w:tcPr>
          <w:p w14:paraId="7F6B4946" w14:textId="77777777" w:rsidR="00191A81" w:rsidRDefault="005B1947">
            <w:pPr>
              <w:pStyle w:val="TableParagraph"/>
              <w:rPr>
                <w:sz w:val="20"/>
              </w:rPr>
            </w:pPr>
            <w:r>
              <w:rPr>
                <w:sz w:val="20"/>
              </w:rPr>
              <w:t>Oryzalin</w:t>
            </w:r>
          </w:p>
        </w:tc>
        <w:tc>
          <w:tcPr>
            <w:tcW w:w="3150" w:type="dxa"/>
          </w:tcPr>
          <w:p w14:paraId="51E6F093" w14:textId="77777777" w:rsidR="00191A81" w:rsidRDefault="005B1947">
            <w:pPr>
              <w:pStyle w:val="TableParagraph"/>
              <w:ind w:left="1089" w:right="1082"/>
              <w:jc w:val="center"/>
              <w:rPr>
                <w:sz w:val="20"/>
              </w:rPr>
            </w:pPr>
            <w:r>
              <w:rPr>
                <w:sz w:val="20"/>
              </w:rPr>
              <w:t>346.358</w:t>
            </w:r>
          </w:p>
        </w:tc>
      </w:tr>
      <w:tr w:rsidR="00191A81" w14:paraId="0E6A8370" w14:textId="77777777" w:rsidTr="0089530D">
        <w:trPr>
          <w:trHeight w:val="244"/>
        </w:trPr>
        <w:tc>
          <w:tcPr>
            <w:tcW w:w="2875" w:type="dxa"/>
          </w:tcPr>
          <w:p w14:paraId="01C1482A" w14:textId="77777777" w:rsidR="00191A81" w:rsidRDefault="005B1947">
            <w:pPr>
              <w:pStyle w:val="TableParagraph"/>
              <w:rPr>
                <w:sz w:val="20"/>
              </w:rPr>
            </w:pPr>
            <w:proofErr w:type="spellStart"/>
            <w:r>
              <w:rPr>
                <w:sz w:val="20"/>
              </w:rPr>
              <w:t>Oxydemeton</w:t>
            </w:r>
            <w:proofErr w:type="spellEnd"/>
            <w:r>
              <w:rPr>
                <w:sz w:val="20"/>
              </w:rPr>
              <w:t xml:space="preserve"> Methyl</w:t>
            </w:r>
          </w:p>
        </w:tc>
        <w:tc>
          <w:tcPr>
            <w:tcW w:w="3150" w:type="dxa"/>
          </w:tcPr>
          <w:p w14:paraId="6EFA2BAD" w14:textId="77777777" w:rsidR="00191A81" w:rsidRDefault="005B1947">
            <w:pPr>
              <w:pStyle w:val="TableParagraph"/>
              <w:ind w:left="1089" w:right="1082"/>
              <w:jc w:val="center"/>
              <w:rPr>
                <w:sz w:val="20"/>
              </w:rPr>
            </w:pPr>
            <w:r>
              <w:rPr>
                <w:sz w:val="20"/>
              </w:rPr>
              <w:t>246.276</w:t>
            </w:r>
          </w:p>
        </w:tc>
      </w:tr>
      <w:tr w:rsidR="00191A81" w14:paraId="17D27EDD" w14:textId="77777777" w:rsidTr="0089530D">
        <w:trPr>
          <w:trHeight w:val="244"/>
        </w:trPr>
        <w:tc>
          <w:tcPr>
            <w:tcW w:w="2875" w:type="dxa"/>
          </w:tcPr>
          <w:p w14:paraId="27412659" w14:textId="77777777" w:rsidR="00191A81" w:rsidRDefault="005B1947">
            <w:pPr>
              <w:pStyle w:val="TableParagraph"/>
              <w:rPr>
                <w:sz w:val="20"/>
              </w:rPr>
            </w:pPr>
            <w:r>
              <w:rPr>
                <w:sz w:val="20"/>
              </w:rPr>
              <w:t>Oxyfluorfen</w:t>
            </w:r>
          </w:p>
        </w:tc>
        <w:tc>
          <w:tcPr>
            <w:tcW w:w="3150" w:type="dxa"/>
          </w:tcPr>
          <w:p w14:paraId="0968E2D3" w14:textId="77777777" w:rsidR="00191A81" w:rsidRDefault="005B1947">
            <w:pPr>
              <w:pStyle w:val="TableParagraph"/>
              <w:ind w:left="1089" w:right="1082"/>
              <w:jc w:val="center"/>
              <w:rPr>
                <w:sz w:val="20"/>
              </w:rPr>
            </w:pPr>
            <w:r>
              <w:rPr>
                <w:sz w:val="20"/>
              </w:rPr>
              <w:t>361.701</w:t>
            </w:r>
          </w:p>
        </w:tc>
      </w:tr>
      <w:tr w:rsidR="00810B21" w14:paraId="5D04A33C" w14:textId="77777777" w:rsidTr="0089530D">
        <w:trPr>
          <w:trHeight w:val="244"/>
        </w:trPr>
        <w:tc>
          <w:tcPr>
            <w:tcW w:w="2875" w:type="dxa"/>
          </w:tcPr>
          <w:p w14:paraId="7FF6DAE5" w14:textId="6275E19B" w:rsidR="00810B21" w:rsidRDefault="00810B21">
            <w:pPr>
              <w:pStyle w:val="TableParagraph"/>
              <w:rPr>
                <w:sz w:val="20"/>
              </w:rPr>
            </w:pPr>
            <w:r w:rsidRPr="00810B21">
              <w:rPr>
                <w:sz w:val="20"/>
              </w:rPr>
              <w:t>Pendimethalin</w:t>
            </w:r>
          </w:p>
        </w:tc>
        <w:tc>
          <w:tcPr>
            <w:tcW w:w="3150" w:type="dxa"/>
          </w:tcPr>
          <w:p w14:paraId="3C38759C" w14:textId="77C070A1" w:rsidR="00810B21" w:rsidRDefault="00810B21">
            <w:pPr>
              <w:pStyle w:val="TableParagraph"/>
              <w:ind w:left="1089" w:right="1082"/>
              <w:jc w:val="center"/>
              <w:rPr>
                <w:sz w:val="20"/>
              </w:rPr>
            </w:pPr>
            <w:r w:rsidRPr="00810B21">
              <w:rPr>
                <w:sz w:val="20"/>
              </w:rPr>
              <w:t>281.31</w:t>
            </w:r>
            <w:r>
              <w:rPr>
                <w:sz w:val="20"/>
              </w:rPr>
              <w:t>0</w:t>
            </w:r>
          </w:p>
        </w:tc>
      </w:tr>
      <w:tr w:rsidR="00191A81" w14:paraId="157C72F1" w14:textId="77777777" w:rsidTr="0089530D">
        <w:trPr>
          <w:trHeight w:val="244"/>
        </w:trPr>
        <w:tc>
          <w:tcPr>
            <w:tcW w:w="2875" w:type="dxa"/>
          </w:tcPr>
          <w:p w14:paraId="01599F55" w14:textId="77777777" w:rsidR="00191A81" w:rsidRDefault="005B1947">
            <w:pPr>
              <w:pStyle w:val="TableParagraph"/>
              <w:rPr>
                <w:sz w:val="20"/>
              </w:rPr>
            </w:pPr>
            <w:r>
              <w:rPr>
                <w:sz w:val="20"/>
              </w:rPr>
              <w:t>Permethrin</w:t>
            </w:r>
          </w:p>
        </w:tc>
        <w:tc>
          <w:tcPr>
            <w:tcW w:w="3150" w:type="dxa"/>
          </w:tcPr>
          <w:p w14:paraId="66423873" w14:textId="77777777" w:rsidR="00191A81" w:rsidRDefault="005B1947">
            <w:pPr>
              <w:pStyle w:val="TableParagraph"/>
              <w:ind w:left="1089" w:right="1082"/>
              <w:jc w:val="center"/>
              <w:rPr>
                <w:sz w:val="20"/>
              </w:rPr>
            </w:pPr>
            <w:r>
              <w:rPr>
                <w:sz w:val="20"/>
              </w:rPr>
              <w:t>391.288</w:t>
            </w:r>
          </w:p>
        </w:tc>
      </w:tr>
      <w:tr w:rsidR="00191A81" w14:paraId="0AB8575C" w14:textId="77777777" w:rsidTr="0089530D">
        <w:trPr>
          <w:trHeight w:val="241"/>
        </w:trPr>
        <w:tc>
          <w:tcPr>
            <w:tcW w:w="2875" w:type="dxa"/>
          </w:tcPr>
          <w:p w14:paraId="62523A5A" w14:textId="77777777" w:rsidR="00191A81" w:rsidRDefault="005B1947">
            <w:pPr>
              <w:pStyle w:val="TableParagraph"/>
              <w:spacing w:before="0" w:line="222" w:lineRule="exact"/>
              <w:rPr>
                <w:sz w:val="20"/>
              </w:rPr>
            </w:pPr>
            <w:proofErr w:type="spellStart"/>
            <w:r>
              <w:rPr>
                <w:sz w:val="20"/>
              </w:rPr>
              <w:t>Phosphet</w:t>
            </w:r>
            <w:proofErr w:type="spellEnd"/>
          </w:p>
        </w:tc>
        <w:tc>
          <w:tcPr>
            <w:tcW w:w="3150" w:type="dxa"/>
          </w:tcPr>
          <w:p w14:paraId="07956E62" w14:textId="77777777" w:rsidR="00191A81" w:rsidRDefault="005B1947">
            <w:pPr>
              <w:pStyle w:val="TableParagraph"/>
              <w:spacing w:before="0" w:line="222" w:lineRule="exact"/>
              <w:ind w:left="1089" w:right="1082"/>
              <w:jc w:val="center"/>
              <w:rPr>
                <w:sz w:val="20"/>
              </w:rPr>
            </w:pPr>
            <w:r>
              <w:rPr>
                <w:sz w:val="20"/>
              </w:rPr>
              <w:t>317.314</w:t>
            </w:r>
          </w:p>
        </w:tc>
      </w:tr>
      <w:tr w:rsidR="00191A81" w14:paraId="20FF6454" w14:textId="77777777" w:rsidTr="0089530D">
        <w:trPr>
          <w:trHeight w:val="244"/>
        </w:trPr>
        <w:tc>
          <w:tcPr>
            <w:tcW w:w="2875" w:type="dxa"/>
          </w:tcPr>
          <w:p w14:paraId="5CFC08E9" w14:textId="77777777" w:rsidR="00191A81" w:rsidRDefault="005B1947">
            <w:pPr>
              <w:pStyle w:val="TableParagraph"/>
              <w:rPr>
                <w:sz w:val="20"/>
              </w:rPr>
            </w:pPr>
            <w:r>
              <w:rPr>
                <w:sz w:val="20"/>
              </w:rPr>
              <w:t>pp-dicofol</w:t>
            </w:r>
          </w:p>
        </w:tc>
        <w:tc>
          <w:tcPr>
            <w:tcW w:w="3150" w:type="dxa"/>
          </w:tcPr>
          <w:p w14:paraId="4BEEBE17" w14:textId="77777777" w:rsidR="00191A81" w:rsidRDefault="005B1947">
            <w:pPr>
              <w:pStyle w:val="TableParagraph"/>
              <w:ind w:left="1089" w:right="1082"/>
              <w:jc w:val="center"/>
              <w:rPr>
                <w:sz w:val="20"/>
              </w:rPr>
            </w:pPr>
            <w:r>
              <w:rPr>
                <w:sz w:val="20"/>
              </w:rPr>
              <w:t>370.475</w:t>
            </w:r>
          </w:p>
        </w:tc>
      </w:tr>
      <w:tr w:rsidR="00191A81" w14:paraId="28BAB7A6" w14:textId="77777777" w:rsidTr="0089530D">
        <w:trPr>
          <w:trHeight w:val="244"/>
        </w:trPr>
        <w:tc>
          <w:tcPr>
            <w:tcW w:w="2875" w:type="dxa"/>
          </w:tcPr>
          <w:p w14:paraId="00B8BA8B" w14:textId="77777777" w:rsidR="00191A81" w:rsidRDefault="005B1947">
            <w:pPr>
              <w:pStyle w:val="TableParagraph"/>
              <w:rPr>
                <w:sz w:val="20"/>
              </w:rPr>
            </w:pPr>
            <w:proofErr w:type="spellStart"/>
            <w:r>
              <w:rPr>
                <w:sz w:val="20"/>
              </w:rPr>
              <w:t>Propargite</w:t>
            </w:r>
            <w:proofErr w:type="spellEnd"/>
          </w:p>
        </w:tc>
        <w:tc>
          <w:tcPr>
            <w:tcW w:w="3150" w:type="dxa"/>
          </w:tcPr>
          <w:p w14:paraId="49D919AC" w14:textId="77777777" w:rsidR="00191A81" w:rsidRDefault="005B1947">
            <w:pPr>
              <w:pStyle w:val="TableParagraph"/>
              <w:ind w:left="1089" w:right="1082"/>
              <w:jc w:val="center"/>
              <w:rPr>
                <w:sz w:val="20"/>
              </w:rPr>
            </w:pPr>
            <w:r>
              <w:rPr>
                <w:sz w:val="20"/>
              </w:rPr>
              <w:t>350.473</w:t>
            </w:r>
          </w:p>
        </w:tc>
      </w:tr>
      <w:tr w:rsidR="00191A81" w14:paraId="25379DC8" w14:textId="77777777" w:rsidTr="0089530D">
        <w:trPr>
          <w:trHeight w:val="244"/>
        </w:trPr>
        <w:tc>
          <w:tcPr>
            <w:tcW w:w="2875" w:type="dxa"/>
          </w:tcPr>
          <w:p w14:paraId="1E242A48" w14:textId="77777777" w:rsidR="00191A81" w:rsidRDefault="005B1947">
            <w:pPr>
              <w:pStyle w:val="TableParagraph"/>
              <w:rPr>
                <w:sz w:val="20"/>
              </w:rPr>
            </w:pPr>
            <w:r>
              <w:rPr>
                <w:sz w:val="20"/>
              </w:rPr>
              <w:t>Simazine</w:t>
            </w:r>
          </w:p>
        </w:tc>
        <w:tc>
          <w:tcPr>
            <w:tcW w:w="3150" w:type="dxa"/>
          </w:tcPr>
          <w:p w14:paraId="6C76D0DD" w14:textId="77777777" w:rsidR="00191A81" w:rsidRDefault="005B1947">
            <w:pPr>
              <w:pStyle w:val="TableParagraph"/>
              <w:ind w:left="1089" w:right="1082"/>
              <w:jc w:val="center"/>
              <w:rPr>
                <w:sz w:val="20"/>
              </w:rPr>
            </w:pPr>
            <w:r>
              <w:rPr>
                <w:sz w:val="20"/>
              </w:rPr>
              <w:t>201.657</w:t>
            </w:r>
          </w:p>
        </w:tc>
      </w:tr>
      <w:tr w:rsidR="00191A81" w14:paraId="5E226ED3" w14:textId="77777777" w:rsidTr="0089530D">
        <w:trPr>
          <w:trHeight w:val="244"/>
        </w:trPr>
        <w:tc>
          <w:tcPr>
            <w:tcW w:w="2875" w:type="dxa"/>
          </w:tcPr>
          <w:p w14:paraId="61ACBFEC" w14:textId="77777777" w:rsidR="00191A81" w:rsidRDefault="005B1947">
            <w:pPr>
              <w:pStyle w:val="TableParagraph"/>
              <w:rPr>
                <w:sz w:val="20"/>
              </w:rPr>
            </w:pPr>
            <w:r>
              <w:rPr>
                <w:sz w:val="20"/>
              </w:rPr>
              <w:t>Trifluralin</w:t>
            </w:r>
          </w:p>
        </w:tc>
        <w:tc>
          <w:tcPr>
            <w:tcW w:w="3150" w:type="dxa"/>
          </w:tcPr>
          <w:p w14:paraId="3B4B9867" w14:textId="77777777" w:rsidR="00191A81" w:rsidRDefault="005B1947">
            <w:pPr>
              <w:pStyle w:val="TableParagraph"/>
              <w:ind w:left="1089" w:right="1082"/>
              <w:jc w:val="center"/>
              <w:rPr>
                <w:sz w:val="20"/>
              </w:rPr>
            </w:pPr>
            <w:r>
              <w:rPr>
                <w:sz w:val="20"/>
              </w:rPr>
              <w:t>335.283</w:t>
            </w:r>
          </w:p>
        </w:tc>
      </w:tr>
    </w:tbl>
    <w:p w14:paraId="15369681" w14:textId="77777777" w:rsidR="00FD3D4F" w:rsidRDefault="00FD3D4F">
      <w:pPr>
        <w:pStyle w:val="BodyText"/>
        <w:rPr>
          <w:b/>
          <w:sz w:val="24"/>
        </w:rPr>
      </w:pPr>
    </w:p>
    <w:p w14:paraId="6A027276" w14:textId="15631558" w:rsidR="00191A81" w:rsidRDefault="00FD3D4F" w:rsidP="00C96132">
      <w:pPr>
        <w:pStyle w:val="Heading3"/>
      </w:pPr>
      <w:r>
        <w:t>Flagged Samples</w:t>
      </w:r>
    </w:p>
    <w:tbl>
      <w:tblPr>
        <w:tblStyle w:val="TableGrid"/>
        <w:tblW w:w="0" w:type="auto"/>
        <w:tblLook w:val="04A0" w:firstRow="1" w:lastRow="0" w:firstColumn="1" w:lastColumn="0" w:noHBand="0" w:noVBand="1"/>
        <w:tblDescription w:val="Flagged Samples"/>
      </w:tblPr>
      <w:tblGrid>
        <w:gridCol w:w="1885"/>
        <w:gridCol w:w="4230"/>
      </w:tblGrid>
      <w:tr w:rsidR="009A1E56" w:rsidRPr="008315CA" w14:paraId="34518ED6" w14:textId="77777777" w:rsidTr="0089530D">
        <w:tc>
          <w:tcPr>
            <w:tcW w:w="1885" w:type="dxa"/>
          </w:tcPr>
          <w:p w14:paraId="7A8D17D6" w14:textId="3737EFD5" w:rsidR="009A1E56" w:rsidRPr="008315CA" w:rsidRDefault="009A1E56">
            <w:pPr>
              <w:pStyle w:val="BodyText"/>
              <w:rPr>
                <w:b/>
                <w:sz w:val="22"/>
                <w:szCs w:val="18"/>
              </w:rPr>
            </w:pPr>
            <w:r w:rsidRPr="008315CA">
              <w:rPr>
                <w:b/>
                <w:sz w:val="22"/>
                <w:szCs w:val="18"/>
              </w:rPr>
              <w:t>FLAG_CD</w:t>
            </w:r>
          </w:p>
        </w:tc>
        <w:tc>
          <w:tcPr>
            <w:tcW w:w="4230" w:type="dxa"/>
          </w:tcPr>
          <w:p w14:paraId="11D85C17" w14:textId="75078223" w:rsidR="009A1E56" w:rsidRPr="008315CA" w:rsidRDefault="009A1E56">
            <w:pPr>
              <w:pStyle w:val="BodyText"/>
              <w:rPr>
                <w:b/>
                <w:sz w:val="22"/>
                <w:szCs w:val="18"/>
              </w:rPr>
            </w:pPr>
            <w:r w:rsidRPr="008315CA">
              <w:rPr>
                <w:b/>
                <w:sz w:val="22"/>
                <w:szCs w:val="18"/>
              </w:rPr>
              <w:t>FLAG_DESC</w:t>
            </w:r>
          </w:p>
        </w:tc>
      </w:tr>
      <w:tr w:rsidR="00FD3D4F" w:rsidRPr="008315CA" w14:paraId="5DEAD307" w14:textId="77777777" w:rsidTr="0089530D">
        <w:tc>
          <w:tcPr>
            <w:tcW w:w="1885" w:type="dxa"/>
          </w:tcPr>
          <w:p w14:paraId="59C5061B" w14:textId="14AE8F2F" w:rsidR="00FD3D4F" w:rsidRPr="008315CA" w:rsidRDefault="00FD3D4F">
            <w:pPr>
              <w:pStyle w:val="BodyText"/>
              <w:rPr>
                <w:bCs/>
                <w:sz w:val="22"/>
                <w:szCs w:val="18"/>
              </w:rPr>
            </w:pPr>
            <w:r w:rsidRPr="008315CA">
              <w:rPr>
                <w:bCs/>
                <w:sz w:val="22"/>
                <w:szCs w:val="18"/>
              </w:rPr>
              <w:t>0</w:t>
            </w:r>
          </w:p>
        </w:tc>
        <w:tc>
          <w:tcPr>
            <w:tcW w:w="4230" w:type="dxa"/>
          </w:tcPr>
          <w:p w14:paraId="76881717" w14:textId="7DA69254" w:rsidR="00FD3D4F" w:rsidRPr="008315CA" w:rsidRDefault="00B65561">
            <w:pPr>
              <w:pStyle w:val="BodyText"/>
              <w:rPr>
                <w:bCs/>
                <w:sz w:val="22"/>
                <w:szCs w:val="18"/>
              </w:rPr>
            </w:pPr>
            <w:r w:rsidRPr="00B65561">
              <w:rPr>
                <w:bCs/>
                <w:sz w:val="22"/>
                <w:szCs w:val="18"/>
              </w:rPr>
              <w:t>Missing initial flow measurement</w:t>
            </w:r>
          </w:p>
        </w:tc>
      </w:tr>
      <w:tr w:rsidR="009A1E56" w:rsidRPr="008315CA" w14:paraId="4055F4A6" w14:textId="77777777" w:rsidTr="0089530D">
        <w:tc>
          <w:tcPr>
            <w:tcW w:w="1885" w:type="dxa"/>
          </w:tcPr>
          <w:p w14:paraId="37E16F39" w14:textId="3C187FA9" w:rsidR="009A1E56" w:rsidRPr="008315CA" w:rsidRDefault="009A1E56">
            <w:pPr>
              <w:pStyle w:val="BodyText"/>
              <w:rPr>
                <w:bCs/>
                <w:sz w:val="22"/>
                <w:szCs w:val="18"/>
              </w:rPr>
            </w:pPr>
            <w:r w:rsidRPr="008315CA">
              <w:rPr>
                <w:bCs/>
                <w:sz w:val="22"/>
                <w:szCs w:val="18"/>
              </w:rPr>
              <w:t>1</w:t>
            </w:r>
          </w:p>
        </w:tc>
        <w:tc>
          <w:tcPr>
            <w:tcW w:w="4230" w:type="dxa"/>
          </w:tcPr>
          <w:p w14:paraId="5E74C27C" w14:textId="1C20A941" w:rsidR="009A1E56" w:rsidRPr="008315CA" w:rsidRDefault="009A1E56">
            <w:pPr>
              <w:pStyle w:val="BodyText"/>
              <w:rPr>
                <w:bCs/>
                <w:sz w:val="22"/>
                <w:szCs w:val="18"/>
              </w:rPr>
            </w:pPr>
            <w:r w:rsidRPr="008315CA">
              <w:rPr>
                <w:bCs/>
                <w:sz w:val="22"/>
                <w:szCs w:val="18"/>
              </w:rPr>
              <w:t>Flow out of range-low</w:t>
            </w:r>
          </w:p>
        </w:tc>
      </w:tr>
      <w:tr w:rsidR="009A1E56" w:rsidRPr="008315CA" w14:paraId="52B24FDE" w14:textId="77777777" w:rsidTr="0089530D">
        <w:tc>
          <w:tcPr>
            <w:tcW w:w="1885" w:type="dxa"/>
          </w:tcPr>
          <w:p w14:paraId="3C9769D5" w14:textId="12E6557B" w:rsidR="009A1E56" w:rsidRPr="008315CA" w:rsidRDefault="009A1E56">
            <w:pPr>
              <w:pStyle w:val="BodyText"/>
              <w:rPr>
                <w:bCs/>
                <w:sz w:val="22"/>
                <w:szCs w:val="18"/>
              </w:rPr>
            </w:pPr>
            <w:r w:rsidRPr="008315CA">
              <w:rPr>
                <w:bCs/>
                <w:sz w:val="22"/>
                <w:szCs w:val="18"/>
              </w:rPr>
              <w:t>2</w:t>
            </w:r>
          </w:p>
        </w:tc>
        <w:tc>
          <w:tcPr>
            <w:tcW w:w="4230" w:type="dxa"/>
          </w:tcPr>
          <w:p w14:paraId="17C3EEF1" w14:textId="18BB8E46" w:rsidR="009A1E56" w:rsidRPr="008315CA" w:rsidRDefault="00FD3D4F">
            <w:pPr>
              <w:pStyle w:val="BodyText"/>
              <w:rPr>
                <w:bCs/>
                <w:sz w:val="22"/>
                <w:szCs w:val="18"/>
              </w:rPr>
            </w:pPr>
            <w:r w:rsidRPr="008315CA">
              <w:rPr>
                <w:bCs/>
                <w:sz w:val="22"/>
                <w:szCs w:val="18"/>
              </w:rPr>
              <w:t>Flow out of range-high</w:t>
            </w:r>
          </w:p>
        </w:tc>
      </w:tr>
      <w:tr w:rsidR="009A1E56" w:rsidRPr="008315CA" w14:paraId="1F180EAA" w14:textId="77777777" w:rsidTr="0089530D">
        <w:tc>
          <w:tcPr>
            <w:tcW w:w="1885" w:type="dxa"/>
          </w:tcPr>
          <w:p w14:paraId="1DAED9F5" w14:textId="296A166B" w:rsidR="009A1E56" w:rsidRPr="008315CA" w:rsidRDefault="009A1E56">
            <w:pPr>
              <w:pStyle w:val="BodyText"/>
              <w:rPr>
                <w:bCs/>
                <w:sz w:val="22"/>
                <w:szCs w:val="18"/>
              </w:rPr>
            </w:pPr>
            <w:r w:rsidRPr="008315CA">
              <w:rPr>
                <w:bCs/>
                <w:sz w:val="22"/>
                <w:szCs w:val="18"/>
              </w:rPr>
              <w:t>3</w:t>
            </w:r>
          </w:p>
        </w:tc>
        <w:tc>
          <w:tcPr>
            <w:tcW w:w="4230" w:type="dxa"/>
          </w:tcPr>
          <w:p w14:paraId="57EC4B78" w14:textId="432C0637" w:rsidR="009A1E56" w:rsidRPr="008315CA" w:rsidRDefault="00FD3D4F">
            <w:pPr>
              <w:pStyle w:val="BodyText"/>
              <w:rPr>
                <w:bCs/>
                <w:sz w:val="22"/>
                <w:szCs w:val="18"/>
              </w:rPr>
            </w:pPr>
            <w:r w:rsidRPr="008315CA">
              <w:rPr>
                <w:bCs/>
                <w:sz w:val="22"/>
                <w:szCs w:val="18"/>
              </w:rPr>
              <w:t>Canister pressure out of range-low</w:t>
            </w:r>
          </w:p>
        </w:tc>
      </w:tr>
      <w:tr w:rsidR="009A1E56" w:rsidRPr="008315CA" w14:paraId="4F253A28" w14:textId="77777777" w:rsidTr="0089530D">
        <w:tc>
          <w:tcPr>
            <w:tcW w:w="1885" w:type="dxa"/>
          </w:tcPr>
          <w:p w14:paraId="78F761F3" w14:textId="65EACC54" w:rsidR="009A1E56" w:rsidRPr="008315CA" w:rsidRDefault="009A1E56">
            <w:pPr>
              <w:pStyle w:val="BodyText"/>
              <w:rPr>
                <w:bCs/>
                <w:sz w:val="22"/>
                <w:szCs w:val="18"/>
              </w:rPr>
            </w:pPr>
            <w:r w:rsidRPr="008315CA">
              <w:rPr>
                <w:bCs/>
                <w:sz w:val="22"/>
                <w:szCs w:val="18"/>
              </w:rPr>
              <w:t>4</w:t>
            </w:r>
          </w:p>
        </w:tc>
        <w:tc>
          <w:tcPr>
            <w:tcW w:w="4230" w:type="dxa"/>
          </w:tcPr>
          <w:p w14:paraId="4575B172" w14:textId="537E8D19" w:rsidR="009A1E56" w:rsidRPr="008315CA" w:rsidRDefault="00FD3D4F">
            <w:pPr>
              <w:pStyle w:val="BodyText"/>
              <w:rPr>
                <w:bCs/>
                <w:sz w:val="22"/>
                <w:szCs w:val="18"/>
              </w:rPr>
            </w:pPr>
            <w:r w:rsidRPr="008315CA">
              <w:rPr>
                <w:bCs/>
                <w:sz w:val="22"/>
                <w:szCs w:val="18"/>
              </w:rPr>
              <w:t>Canister pressure out of range-high</w:t>
            </w:r>
          </w:p>
        </w:tc>
      </w:tr>
      <w:tr w:rsidR="009A1E56" w:rsidRPr="008315CA" w14:paraId="52346B31" w14:textId="77777777" w:rsidTr="0089530D">
        <w:tc>
          <w:tcPr>
            <w:tcW w:w="1885" w:type="dxa"/>
          </w:tcPr>
          <w:p w14:paraId="6234DEE8" w14:textId="7BAD9AF6" w:rsidR="009A1E56" w:rsidRPr="008315CA" w:rsidRDefault="009A1E56">
            <w:pPr>
              <w:pStyle w:val="BodyText"/>
              <w:rPr>
                <w:bCs/>
                <w:sz w:val="22"/>
                <w:szCs w:val="18"/>
              </w:rPr>
            </w:pPr>
            <w:r w:rsidRPr="008315CA">
              <w:rPr>
                <w:bCs/>
                <w:sz w:val="22"/>
                <w:szCs w:val="18"/>
              </w:rPr>
              <w:t>5</w:t>
            </w:r>
          </w:p>
        </w:tc>
        <w:tc>
          <w:tcPr>
            <w:tcW w:w="4230" w:type="dxa"/>
          </w:tcPr>
          <w:p w14:paraId="215843F9" w14:textId="7A48939A" w:rsidR="009A1E56" w:rsidRPr="008315CA" w:rsidRDefault="00B65561">
            <w:pPr>
              <w:pStyle w:val="BodyText"/>
              <w:rPr>
                <w:bCs/>
                <w:sz w:val="22"/>
                <w:szCs w:val="18"/>
              </w:rPr>
            </w:pPr>
            <w:r w:rsidRPr="00B65561">
              <w:rPr>
                <w:bCs/>
                <w:sz w:val="22"/>
                <w:szCs w:val="18"/>
              </w:rPr>
              <w:t>Sample duration larger than 25 hours (24±1 hours)</w:t>
            </w:r>
          </w:p>
        </w:tc>
      </w:tr>
      <w:tr w:rsidR="009A1E56" w:rsidRPr="008315CA" w14:paraId="4AEAB645" w14:textId="77777777" w:rsidTr="0089530D">
        <w:tc>
          <w:tcPr>
            <w:tcW w:w="1885" w:type="dxa"/>
          </w:tcPr>
          <w:p w14:paraId="4001186F" w14:textId="4E1ED783" w:rsidR="009A1E56" w:rsidRPr="008315CA" w:rsidRDefault="009A1E56">
            <w:pPr>
              <w:pStyle w:val="BodyText"/>
              <w:rPr>
                <w:bCs/>
                <w:sz w:val="22"/>
                <w:szCs w:val="18"/>
              </w:rPr>
            </w:pPr>
            <w:r w:rsidRPr="008315CA">
              <w:rPr>
                <w:bCs/>
                <w:sz w:val="22"/>
                <w:szCs w:val="18"/>
              </w:rPr>
              <w:lastRenderedPageBreak/>
              <w:t>6</w:t>
            </w:r>
          </w:p>
        </w:tc>
        <w:tc>
          <w:tcPr>
            <w:tcW w:w="4230" w:type="dxa"/>
          </w:tcPr>
          <w:p w14:paraId="051327CE" w14:textId="4D5386B0" w:rsidR="009A1E56" w:rsidRPr="008315CA" w:rsidRDefault="00B65561">
            <w:pPr>
              <w:pStyle w:val="BodyText"/>
              <w:rPr>
                <w:bCs/>
                <w:sz w:val="22"/>
                <w:szCs w:val="18"/>
              </w:rPr>
            </w:pPr>
            <w:r w:rsidRPr="00B65561">
              <w:rPr>
                <w:bCs/>
                <w:sz w:val="22"/>
                <w:szCs w:val="18"/>
              </w:rPr>
              <w:t>Sample duration less than 23 hours (24±1 hours)</w:t>
            </w:r>
          </w:p>
        </w:tc>
      </w:tr>
      <w:tr w:rsidR="009A1E56" w:rsidRPr="008315CA" w14:paraId="4393FB1A" w14:textId="77777777" w:rsidTr="0089530D">
        <w:tc>
          <w:tcPr>
            <w:tcW w:w="1885" w:type="dxa"/>
          </w:tcPr>
          <w:p w14:paraId="295F43E5" w14:textId="103E9815" w:rsidR="009A1E56" w:rsidRPr="008315CA" w:rsidRDefault="009A1E56">
            <w:pPr>
              <w:pStyle w:val="BodyText"/>
              <w:rPr>
                <w:bCs/>
                <w:sz w:val="22"/>
                <w:szCs w:val="18"/>
              </w:rPr>
            </w:pPr>
            <w:r w:rsidRPr="008315CA">
              <w:rPr>
                <w:bCs/>
                <w:sz w:val="22"/>
                <w:szCs w:val="18"/>
              </w:rPr>
              <w:t>7</w:t>
            </w:r>
          </w:p>
        </w:tc>
        <w:tc>
          <w:tcPr>
            <w:tcW w:w="4230" w:type="dxa"/>
          </w:tcPr>
          <w:p w14:paraId="46BC5EF7" w14:textId="0D7ADC6A" w:rsidR="009A1E56" w:rsidRPr="008315CA" w:rsidRDefault="00FD3D4F">
            <w:pPr>
              <w:pStyle w:val="BodyText"/>
              <w:rPr>
                <w:bCs/>
                <w:sz w:val="22"/>
                <w:szCs w:val="18"/>
              </w:rPr>
            </w:pPr>
            <w:r w:rsidRPr="008315CA">
              <w:rPr>
                <w:bCs/>
                <w:sz w:val="22"/>
                <w:szCs w:val="18"/>
              </w:rPr>
              <w:t>Lab equipment issue</w:t>
            </w:r>
          </w:p>
        </w:tc>
      </w:tr>
      <w:tr w:rsidR="00FD3D4F" w:rsidRPr="008315CA" w14:paraId="10DC39AF" w14:textId="77777777" w:rsidTr="0089530D">
        <w:tc>
          <w:tcPr>
            <w:tcW w:w="1885" w:type="dxa"/>
          </w:tcPr>
          <w:p w14:paraId="1276484C" w14:textId="6B9DA93E" w:rsidR="00FD3D4F" w:rsidRPr="008315CA" w:rsidRDefault="00FD3D4F">
            <w:pPr>
              <w:pStyle w:val="BodyText"/>
              <w:rPr>
                <w:bCs/>
                <w:sz w:val="22"/>
                <w:szCs w:val="18"/>
              </w:rPr>
            </w:pPr>
            <w:r w:rsidRPr="008315CA">
              <w:rPr>
                <w:bCs/>
                <w:sz w:val="22"/>
                <w:szCs w:val="18"/>
              </w:rPr>
              <w:t>8</w:t>
            </w:r>
          </w:p>
        </w:tc>
        <w:tc>
          <w:tcPr>
            <w:tcW w:w="4230" w:type="dxa"/>
          </w:tcPr>
          <w:p w14:paraId="5EC04321" w14:textId="2403DEBF" w:rsidR="00FD3D4F" w:rsidRPr="008315CA" w:rsidRDefault="00B65561">
            <w:pPr>
              <w:pStyle w:val="BodyText"/>
              <w:rPr>
                <w:bCs/>
                <w:sz w:val="22"/>
                <w:szCs w:val="18"/>
              </w:rPr>
            </w:pPr>
            <w:r w:rsidRPr="00B65561">
              <w:rPr>
                <w:bCs/>
                <w:sz w:val="22"/>
                <w:szCs w:val="18"/>
              </w:rPr>
              <w:t>Missing final flow measurement</w:t>
            </w:r>
          </w:p>
        </w:tc>
      </w:tr>
      <w:tr w:rsidR="00983557" w:rsidRPr="008315CA" w14:paraId="159B5178" w14:textId="77777777" w:rsidTr="0089530D">
        <w:tc>
          <w:tcPr>
            <w:tcW w:w="1885" w:type="dxa"/>
          </w:tcPr>
          <w:p w14:paraId="484AA3BE" w14:textId="1D41A72C" w:rsidR="00983557" w:rsidRPr="008315CA" w:rsidRDefault="00983557" w:rsidP="00983557">
            <w:pPr>
              <w:pStyle w:val="BodyText"/>
              <w:rPr>
                <w:bCs/>
                <w:sz w:val="22"/>
                <w:szCs w:val="18"/>
              </w:rPr>
            </w:pPr>
            <w:r w:rsidRPr="006E12C8">
              <w:t>9</w:t>
            </w:r>
          </w:p>
        </w:tc>
        <w:tc>
          <w:tcPr>
            <w:tcW w:w="4230" w:type="dxa"/>
          </w:tcPr>
          <w:p w14:paraId="72788BE2" w14:textId="7AB712EE" w:rsidR="00983557" w:rsidRPr="00B65561" w:rsidRDefault="00983557" w:rsidP="00983557">
            <w:pPr>
              <w:pStyle w:val="BodyText"/>
              <w:rPr>
                <w:bCs/>
                <w:sz w:val="22"/>
                <w:szCs w:val="18"/>
              </w:rPr>
            </w:pPr>
            <w:r w:rsidRPr="006E12C8">
              <w:t>Missing initial and final flow measurements</w:t>
            </w:r>
          </w:p>
        </w:tc>
      </w:tr>
      <w:tr w:rsidR="00983557" w:rsidRPr="008315CA" w14:paraId="0AB0A2AB" w14:textId="77777777" w:rsidTr="0089530D">
        <w:tc>
          <w:tcPr>
            <w:tcW w:w="1885" w:type="dxa"/>
          </w:tcPr>
          <w:p w14:paraId="1791E7FB" w14:textId="5C5E2D65" w:rsidR="00983557" w:rsidRPr="008315CA" w:rsidRDefault="00983557" w:rsidP="00983557">
            <w:pPr>
              <w:pStyle w:val="BodyText"/>
              <w:rPr>
                <w:bCs/>
                <w:sz w:val="22"/>
                <w:szCs w:val="18"/>
              </w:rPr>
            </w:pPr>
            <w:r w:rsidRPr="006E12C8">
              <w:t>10</w:t>
            </w:r>
          </w:p>
        </w:tc>
        <w:tc>
          <w:tcPr>
            <w:tcW w:w="4230" w:type="dxa"/>
          </w:tcPr>
          <w:p w14:paraId="537D5848" w14:textId="24005C20" w:rsidR="00983557" w:rsidRPr="00B65561" w:rsidRDefault="00983557" w:rsidP="00983557">
            <w:pPr>
              <w:pStyle w:val="BodyText"/>
              <w:rPr>
                <w:bCs/>
                <w:sz w:val="22"/>
                <w:szCs w:val="18"/>
              </w:rPr>
            </w:pPr>
            <w:r w:rsidRPr="006E12C8">
              <w:t>Lab spike recovery-low</w:t>
            </w:r>
          </w:p>
        </w:tc>
      </w:tr>
      <w:tr w:rsidR="00983557" w:rsidRPr="008315CA" w14:paraId="674AE6C0" w14:textId="77777777" w:rsidTr="0089530D">
        <w:tc>
          <w:tcPr>
            <w:tcW w:w="1885" w:type="dxa"/>
          </w:tcPr>
          <w:p w14:paraId="323461A1" w14:textId="3CDB08B3" w:rsidR="00983557" w:rsidRPr="008315CA" w:rsidRDefault="00983557" w:rsidP="00983557">
            <w:pPr>
              <w:pStyle w:val="BodyText"/>
              <w:rPr>
                <w:bCs/>
                <w:sz w:val="22"/>
                <w:szCs w:val="18"/>
              </w:rPr>
            </w:pPr>
            <w:r w:rsidRPr="006E12C8">
              <w:t>11</w:t>
            </w:r>
          </w:p>
        </w:tc>
        <w:tc>
          <w:tcPr>
            <w:tcW w:w="4230" w:type="dxa"/>
          </w:tcPr>
          <w:p w14:paraId="1E9222B9" w14:textId="39E98309" w:rsidR="00983557" w:rsidRPr="00B65561" w:rsidRDefault="00983557" w:rsidP="00983557">
            <w:pPr>
              <w:pStyle w:val="BodyText"/>
              <w:rPr>
                <w:bCs/>
                <w:sz w:val="22"/>
                <w:szCs w:val="18"/>
              </w:rPr>
            </w:pPr>
            <w:r w:rsidRPr="006E12C8">
              <w:t>Lab spike recovery-high</w:t>
            </w:r>
          </w:p>
        </w:tc>
      </w:tr>
      <w:tr w:rsidR="00C01669" w:rsidRPr="008315CA" w14:paraId="71A8DC79" w14:textId="77777777" w:rsidTr="0089530D">
        <w:tc>
          <w:tcPr>
            <w:tcW w:w="1885" w:type="dxa"/>
          </w:tcPr>
          <w:p w14:paraId="0F42A33B" w14:textId="025C698F" w:rsidR="00C01669" w:rsidRPr="006E12C8" w:rsidRDefault="00C01669" w:rsidP="00983557">
            <w:pPr>
              <w:pStyle w:val="BodyText"/>
            </w:pPr>
            <w:r>
              <w:t>12</w:t>
            </w:r>
          </w:p>
        </w:tc>
        <w:tc>
          <w:tcPr>
            <w:tcW w:w="4230" w:type="dxa"/>
          </w:tcPr>
          <w:p w14:paraId="0A7CD29F" w14:textId="419AF569" w:rsidR="00C01669" w:rsidRPr="006E12C8" w:rsidRDefault="00C01669" w:rsidP="00983557">
            <w:pPr>
              <w:pStyle w:val="BodyText"/>
            </w:pPr>
            <w:r w:rsidRPr="00C01669">
              <w:t>Lab analysis outside the 30-day holding limit</w:t>
            </w:r>
          </w:p>
        </w:tc>
      </w:tr>
    </w:tbl>
    <w:p w14:paraId="7AEE0296" w14:textId="77777777" w:rsidR="00191A81" w:rsidRDefault="005B1947">
      <w:pPr>
        <w:spacing w:before="215" w:line="280" w:lineRule="auto"/>
        <w:ind w:left="120" w:right="760"/>
        <w:rPr>
          <w:sz w:val="18"/>
        </w:rPr>
      </w:pPr>
      <w:r>
        <w:rPr>
          <w:sz w:val="18"/>
        </w:rPr>
        <w:t xml:space="preserve">For questions about accessing DPR’s Pesticide Air Monitoring Results Database </w:t>
      </w:r>
      <w:hyperlink r:id="rId5">
        <w:r>
          <w:rPr>
            <w:color w:val="0000FF"/>
            <w:sz w:val="18"/>
            <w:u w:val="single" w:color="0000FF"/>
          </w:rPr>
          <w:t>Air.Monitoring@cdpr.ca.gov</w:t>
        </w:r>
        <w:r>
          <w:rPr>
            <w:sz w:val="18"/>
          </w:rPr>
          <w:t xml:space="preserve">. </w:t>
        </w:r>
      </w:hyperlink>
    </w:p>
    <w:sectPr w:rsidR="00191A81">
      <w:pgSz w:w="12240" w:h="15840"/>
      <w:pgMar w:top="1420" w:right="8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81"/>
    <w:rsid w:val="0014524B"/>
    <w:rsid w:val="00191A81"/>
    <w:rsid w:val="003353F0"/>
    <w:rsid w:val="00361513"/>
    <w:rsid w:val="003E6538"/>
    <w:rsid w:val="00516024"/>
    <w:rsid w:val="005435A1"/>
    <w:rsid w:val="005B1947"/>
    <w:rsid w:val="006F0E9C"/>
    <w:rsid w:val="007C7758"/>
    <w:rsid w:val="00810B21"/>
    <w:rsid w:val="008315CA"/>
    <w:rsid w:val="0089530D"/>
    <w:rsid w:val="008C2153"/>
    <w:rsid w:val="00983557"/>
    <w:rsid w:val="00990541"/>
    <w:rsid w:val="009A1E56"/>
    <w:rsid w:val="00A20022"/>
    <w:rsid w:val="00A33838"/>
    <w:rsid w:val="00AC79D4"/>
    <w:rsid w:val="00B65561"/>
    <w:rsid w:val="00BF5DAB"/>
    <w:rsid w:val="00C01669"/>
    <w:rsid w:val="00C90702"/>
    <w:rsid w:val="00C96132"/>
    <w:rsid w:val="00CD6046"/>
    <w:rsid w:val="00DE0893"/>
    <w:rsid w:val="00ED0481"/>
    <w:rsid w:val="00F04998"/>
    <w:rsid w:val="00FD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6EF4"/>
  <w15:docId w15:val="{A44C8B4B-5FB4-4189-8C1F-9AA7E88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C96132"/>
    <w:pPr>
      <w:ind w:left="1885" w:right="2344"/>
      <w:jc w:val="center"/>
      <w:outlineLvl w:val="1"/>
    </w:pPr>
    <w:rPr>
      <w:b/>
      <w:sz w:val="28"/>
    </w:rPr>
  </w:style>
  <w:style w:type="paragraph" w:styleId="Heading3">
    <w:name w:val="heading 3"/>
    <w:basedOn w:val="Heading1"/>
    <w:next w:val="Normal"/>
    <w:link w:val="Heading3Char"/>
    <w:uiPriority w:val="9"/>
    <w:unhideWhenUsed/>
    <w:qFormat/>
    <w:rsid w:val="00C96132"/>
    <w:pPr>
      <w:spacing w:before="251" w:after="1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line="223" w:lineRule="exact"/>
      <w:ind w:left="107"/>
    </w:pPr>
  </w:style>
  <w:style w:type="table" w:styleId="TableGrid">
    <w:name w:val="Table Grid"/>
    <w:basedOn w:val="TableNormal"/>
    <w:uiPriority w:val="39"/>
    <w:rsid w:val="009A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6132"/>
    <w:rPr>
      <w:rFonts w:ascii="Calibri" w:eastAsia="Calibri" w:hAnsi="Calibri" w:cs="Calibri"/>
      <w:b/>
      <w:sz w:val="28"/>
      <w:lang w:bidi="en-US"/>
    </w:rPr>
  </w:style>
  <w:style w:type="character" w:customStyle="1" w:styleId="Heading3Char">
    <w:name w:val="Heading 3 Char"/>
    <w:basedOn w:val="DefaultParagraphFont"/>
    <w:link w:val="Heading3"/>
    <w:uiPriority w:val="9"/>
    <w:rsid w:val="00C96132"/>
    <w:rPr>
      <w:rFonts w:ascii="Calibri" w:eastAsia="Calibri" w:hAnsi="Calibri" w:cs="Calibri"/>
      <w:b/>
      <w:bCs/>
      <w:sz w:val="24"/>
      <w:szCs w:val="24"/>
      <w:lang w:bidi="en-US"/>
    </w:rPr>
  </w:style>
  <w:style w:type="paragraph" w:styleId="Revision">
    <w:name w:val="Revision"/>
    <w:hidden/>
    <w:uiPriority w:val="99"/>
    <w:semiHidden/>
    <w:rsid w:val="00B65561"/>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9636">
      <w:bodyDiv w:val="1"/>
      <w:marLeft w:val="0"/>
      <w:marRight w:val="0"/>
      <w:marTop w:val="0"/>
      <w:marBottom w:val="0"/>
      <w:divBdr>
        <w:top w:val="none" w:sz="0" w:space="0" w:color="auto"/>
        <w:left w:val="none" w:sz="0" w:space="0" w:color="auto"/>
        <w:bottom w:val="none" w:sz="0" w:space="0" w:color="auto"/>
        <w:right w:val="none" w:sz="0" w:space="0" w:color="auto"/>
      </w:divBdr>
    </w:div>
    <w:div w:id="189434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ir.Monitoring@cdpr.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F42F-46C2-4A7C-9CB4-739C9958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1071</Words>
  <Characters>6137</Characters>
  <Application>Microsoft Office Word</Application>
  <DocSecurity>0</DocSecurity>
  <Lines>255</Lines>
  <Paragraphs>218</Paragraphs>
  <ScaleCrop>false</ScaleCrop>
  <HeadingPairs>
    <vt:vector size="2" baseType="variant">
      <vt:variant>
        <vt:lpstr>Title</vt:lpstr>
      </vt:variant>
      <vt:variant>
        <vt:i4>1</vt:i4>
      </vt:variant>
    </vt:vector>
  </HeadingPairs>
  <TitlesOfParts>
    <vt:vector size="1" baseType="lpstr">
      <vt:lpstr>Data Dictionary for DPR’s Air Monitoring Results Database</vt:lpstr>
    </vt:vector>
  </TitlesOfParts>
  <Company>CDPR</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Dictionary for DPR’s Air Monitoring Results Database</dc:title>
  <dc:subject>A dictionary of terms used in California Department of Pesticide Regulation's database</dc:subject>
  <dc:creator>California Department of Pesticide Regulation, CDPR</dc:creator>
  <cp:keywords>Data Dictionary California Department of Pesticide Regulation DPR Air Monitoring Results Database</cp:keywords>
  <cp:lastModifiedBy>Daniel Ward</cp:lastModifiedBy>
  <cp:revision>3</cp:revision>
  <dcterms:created xsi:type="dcterms:W3CDTF">2023-06-09T23:31:00Z</dcterms:created>
  <dcterms:modified xsi:type="dcterms:W3CDTF">2023-06-12T23:08:00Z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Acrobat PDFMaker 15 for Word</vt:lpwstr>
  </property>
  <property fmtid="{D5CDD505-2E9C-101B-9397-08002B2CF9AE}" pid="4" name="LastSaved">
    <vt:filetime>2020-06-10T00:00:00Z</vt:filetime>
  </property>
</Properties>
</file>